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BAE" w:rsidRPr="00580B3B" w:rsidRDefault="00E82BAE" w:rsidP="00E82BAE">
      <w:pPr>
        <w:spacing w:after="0" w:line="360" w:lineRule="auto"/>
        <w:rPr>
          <w:rFonts w:ascii="Times New Roman" w:eastAsia="Calibri" w:hAnsi="Times New Roman" w:cs="Times New Roman"/>
          <w:b/>
          <w:bCs/>
          <w:color w:val="C0C0C0"/>
        </w:rPr>
      </w:pPr>
      <w:r w:rsidRPr="00580B3B">
        <w:rPr>
          <w:rFonts w:ascii="Times New Roman" w:eastAsia="Calibri" w:hAnsi="Times New Roman" w:cs="Times New Roman"/>
          <w:bCs/>
          <w:color w:val="C0C0C0"/>
        </w:rPr>
        <w:t>Opis</w:t>
      </w:r>
      <w:r w:rsidRPr="00580B3B">
        <w:rPr>
          <w:rFonts w:ascii="Times New Roman" w:eastAsia="Calibri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345"/>
        <w:gridCol w:w="73"/>
        <w:gridCol w:w="443"/>
        <w:gridCol w:w="648"/>
        <w:gridCol w:w="720"/>
      </w:tblGrid>
      <w:tr w:rsidR="00E82BAE" w:rsidRPr="00580B3B" w:rsidTr="008754F0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C0C0C0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vertAlign w:val="superscript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Matematyka finansowa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580B3B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E82BAE" w:rsidRPr="00580B3B" w:rsidTr="008754F0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tabs>
                <w:tab w:val="left" w:pos="6592"/>
              </w:tabs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  <w:lang w:val="en-US"/>
              </w:rPr>
              <w:t>Financial mathematics</w:t>
            </w:r>
          </w:p>
        </w:tc>
      </w:tr>
      <w:tr w:rsidR="00E82BAE" w:rsidRPr="00580B3B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8"/>
              </w:rPr>
              <w:tab/>
            </w:r>
            <w:r w:rsidRPr="00580B3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E82BAE" w:rsidRPr="00580B3B" w:rsidTr="008754F0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82BAE" w:rsidRPr="00580B3B" w:rsidTr="008754F0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E82BAE" w:rsidRPr="00580B3B" w:rsidRDefault="00E82BAE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E82BAE" w:rsidRPr="00580B3B" w:rsidRDefault="00E82BAE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studia I stopnia</w:t>
            </w:r>
          </w:p>
        </w:tc>
      </w:tr>
      <w:tr w:rsidR="00E82BAE" w:rsidRPr="00580B3B" w:rsidTr="008754F0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E82BAE" w:rsidRPr="00580B3B" w:rsidRDefault="00E82BAE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2BAE" w:rsidRPr="00580B3B" w:rsidRDefault="002F69A7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="00E82BAE" w:rsidRPr="00580B3B">
              <w:rPr>
                <w:rFonts w:ascii="Calibri" w:eastAsia="Calibri" w:hAnsi="Calibri" w:cs="Times New Roman"/>
                <w:sz w:val="20"/>
                <w:szCs w:val="16"/>
              </w:rPr>
              <w:t xml:space="preserve"> </w:t>
            </w:r>
            <w:r w:rsidR="00E82BAE" w:rsidRPr="00580B3B">
              <w:rPr>
                <w:rFonts w:ascii="Calibri" w:eastAsia="Calibri" w:hAnsi="Calibri" w:cs="Times New Roman"/>
                <w:sz w:val="16"/>
                <w:szCs w:val="16"/>
              </w:rPr>
              <w:t>stacjonarne</w:t>
            </w:r>
          </w:p>
          <w:p w:rsidR="00E82BAE" w:rsidRPr="00580B3B" w:rsidRDefault="002F69A7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="00E82BAE" w:rsidRPr="00580B3B">
              <w:rPr>
                <w:rFonts w:ascii="Calibri" w:eastAsia="Calibri" w:hAnsi="Calibri" w:cs="Times New Roman"/>
                <w:sz w:val="20"/>
                <w:szCs w:val="16"/>
              </w:rPr>
              <w:t xml:space="preserve"> </w:t>
            </w:r>
            <w:r w:rsidR="00E82BAE" w:rsidRPr="00580B3B">
              <w:rPr>
                <w:rFonts w:ascii="Calibri" w:eastAsia="Calibri" w:hAnsi="Calibri" w:cs="Times New Roman"/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E82BAE" w:rsidRPr="00580B3B" w:rsidRDefault="00E82BAE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E82BAE" w:rsidRPr="00580B3B" w:rsidRDefault="0008173A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="00E82BAE"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 p</w:t>
            </w:r>
            <w:r w:rsidR="00E82BAE"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odstawowe</w:t>
            </w:r>
          </w:p>
          <w:p w:rsidR="00E82BAE" w:rsidRPr="00580B3B" w:rsidRDefault="0008173A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="00E82BAE"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="00E82BAE"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 obowiązkowe </w:t>
            </w:r>
          </w:p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semestr  zimowy</w:t>
            </w: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br/>
            </w: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semestr  letni </w:t>
            </w:r>
          </w:p>
        </w:tc>
      </w:tr>
      <w:tr w:rsidR="00E82BAE" w:rsidRPr="00580B3B" w:rsidTr="008754F0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82BAE" w:rsidRPr="00580B3B" w:rsidRDefault="00095594" w:rsidP="0009559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ZIM-I</w:t>
            </w:r>
            <w:r w:rsidR="002F69A7" w:rsidRPr="002F69A7">
              <w:rPr>
                <w:rFonts w:ascii="Calibri" w:eastAsia="Calibri" w:hAnsi="Calibri" w:cs="Times New Roman"/>
                <w:b/>
                <w:sz w:val="16"/>
                <w:szCs w:val="16"/>
              </w:rPr>
              <w:t>E-1</w:t>
            </w: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Z</w:t>
            </w:r>
            <w:r w:rsidR="002F69A7" w:rsidRPr="002F69A7">
              <w:rPr>
                <w:rFonts w:ascii="Calibri" w:eastAsia="Calibri" w:hAnsi="Calibri" w:cs="Times New Roman"/>
                <w:b/>
                <w:sz w:val="16"/>
                <w:szCs w:val="16"/>
              </w:rPr>
              <w:t>-04L-27</w:t>
            </w:r>
          </w:p>
        </w:tc>
      </w:tr>
      <w:tr w:rsidR="00E82BAE" w:rsidRPr="00580B3B" w:rsidTr="008754F0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E82BAE" w:rsidRPr="00580B3B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82BAE" w:rsidRPr="00580B3B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val="en-GB"/>
              </w:rPr>
            </w:pPr>
          </w:p>
        </w:tc>
      </w:tr>
      <w:tr w:rsidR="00E82BAE" w:rsidRPr="00580B3B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E82BAE" w:rsidRPr="00580B3B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E82BAE" w:rsidRPr="00580B3B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BAE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Celem przedmiotu jest zapoznanie studentów z </w:t>
            </w:r>
            <w:r>
              <w:rPr>
                <w:rFonts w:ascii="Arial" w:eastAsia="Calibri" w:hAnsi="Arial" w:cs="Arial"/>
                <w:sz w:val="16"/>
                <w:szCs w:val="16"/>
              </w:rPr>
              <w:t>podstawowymi pojęciami matematyki finansowej i ich zastosowaniami w ekonomii i finansach. Duży nacisk położony jest na ilustrację omawianych zagadnień aspektami praktycznymi, w tym ofertami banków oraz instrumentami finansowymi notowanymi na Giełdzie Papierów Wartościowych w Warszawie.</w:t>
            </w:r>
          </w:p>
          <w:p w:rsidR="00E82BAE" w:rsidRPr="00580B3B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82BAE" w:rsidRDefault="00E82BAE" w:rsidP="008754F0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80B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tematów poruszanych podczas zajęć:</w:t>
            </w:r>
          </w:p>
          <w:p w:rsidR="00E82BAE" w:rsidRDefault="00E82BAE" w:rsidP="008754F0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 Proste miary efektywności inwestycji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a. Proste i logarytmiczne stopy zwrotu, własności statystyczne.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b. Stopy nominalne i stopy w podokresach.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c. Wycena weksli i obligacji zerokuponowych.</w:t>
            </w:r>
          </w:p>
          <w:p w:rsidR="00E82BAE" w:rsidRDefault="00E82BAE" w:rsidP="008754F0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Podstawowe formy akumulacji kapitału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a. Oprocentowanie proste.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b. Oprocentowanie złożone i ciągłe.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c. Wartość przyszła i wartość bieżąca kapitału.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d. Stopy przeciętne i równoważne, stopy realne.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e. Porównanie lokat bankowych przy różnych formach oprocentowania.</w:t>
            </w:r>
          </w:p>
          <w:p w:rsidR="00E82BAE" w:rsidRDefault="00E82BAE" w:rsidP="008754F0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 Ciągi płatności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a. Wartość przyszła ciągłu płatności przy różnych procesach akumulacji kapitału.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b. Wartość bieżąca ciągów płatności.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c. Aktualizacja ciągu płatności na dowolną chwilę czasu.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e. Elementy wyceny obligacji kuponowych, wartość wewnętrzna, stopa zwrotu w terminie do wykupu.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f. Wewnętrzna stopa zwrotu, elementy oceny projektów inwestycyjnych.</w:t>
            </w:r>
          </w:p>
          <w:p w:rsidR="00E82BAE" w:rsidRDefault="00E82BAE" w:rsidP="008754F0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 Kalkulacje dotyczące kredytów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a. Amortyzacja kredytu o stałych ratach kapitałowych.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b. Amortyzacja kredytu o stałych ratach spłaty.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c. Porównanie kosztów obu kredytów z punktu widzenia kredytobiorcy, oprocentowanie efektywne.</w:t>
            </w:r>
          </w:p>
          <w:p w:rsidR="00E82BAE" w:rsidRDefault="00E82BAE" w:rsidP="008754F0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d. Roczna rzeczywista stopa oprocentowania kredytu, znaczenie opłat dodatkowych.</w:t>
            </w:r>
          </w:p>
          <w:p w:rsidR="00AA5934" w:rsidRDefault="00E82BAE" w:rsidP="00AA5934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f. Analiza przykładowych kredytów dostępnych na rynku finansowym.</w:t>
            </w:r>
            <w:r w:rsidR="00AA593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  <w:p w:rsidR="00E82BAE" w:rsidRPr="00872971" w:rsidRDefault="00AA5934" w:rsidP="00AA5934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="00E82B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 Ilustracja omawianych zagadnień ofertami i instrumentami dostępnym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na polskim rynku kapitałowym.</w:t>
            </w:r>
          </w:p>
        </w:tc>
      </w:tr>
      <w:tr w:rsidR="00E82BAE" w:rsidRPr="00580B3B" w:rsidTr="008754F0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BAE" w:rsidRPr="00580B3B" w:rsidRDefault="002F69A7" w:rsidP="008754F0">
            <w:pPr>
              <w:numPr>
                <w:ilvl w:val="0"/>
                <w:numId w:val="1"/>
              </w:numPr>
              <w:spacing w:after="0" w:line="240" w:lineRule="auto"/>
              <w:ind w:left="470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wykład;  liczba godzin ...9</w:t>
            </w:r>
            <w:r w:rsidR="00E82BAE"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...;  </w:t>
            </w:r>
          </w:p>
          <w:p w:rsidR="00E82BAE" w:rsidRPr="00580B3B" w:rsidRDefault="00E82BAE" w:rsidP="008754F0">
            <w:pPr>
              <w:numPr>
                <w:ilvl w:val="0"/>
                <w:numId w:val="1"/>
              </w:numPr>
              <w:spacing w:after="0" w:line="240" w:lineRule="auto"/>
              <w:ind w:left="470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 xml:space="preserve">ćwiczenia laboratoryjne komputerowe </w:t>
            </w: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liczba godzin ...</w:t>
            </w:r>
            <w:r w:rsidR="002F69A7">
              <w:rPr>
                <w:rFonts w:ascii="Calibri" w:eastAsia="Calibri" w:hAnsi="Calibri" w:cs="Times New Roman"/>
                <w:sz w:val="16"/>
                <w:szCs w:val="16"/>
              </w:rPr>
              <w:t>18</w:t>
            </w: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...;  </w:t>
            </w:r>
          </w:p>
        </w:tc>
      </w:tr>
      <w:tr w:rsidR="00E82BAE" w:rsidRPr="00580B3B" w:rsidTr="008754F0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wykład, dyskusja </w:t>
            </w:r>
            <w:r>
              <w:rPr>
                <w:rFonts w:ascii="Arial" w:eastAsia="Calibri" w:hAnsi="Arial" w:cs="Arial"/>
                <w:sz w:val="16"/>
                <w:szCs w:val="16"/>
              </w:rPr>
              <w:t>problemu, rozwiązywanie problemów</w:t>
            </w:r>
            <w:r w:rsidRPr="00580B3B">
              <w:rPr>
                <w:rFonts w:ascii="Arial" w:eastAsia="Calibri" w:hAnsi="Arial" w:cs="Arial"/>
                <w:sz w:val="16"/>
                <w:szCs w:val="16"/>
              </w:rPr>
              <w:t>, konsultacje</w:t>
            </w:r>
          </w:p>
        </w:tc>
      </w:tr>
      <w:tr w:rsidR="00E82BAE" w:rsidRPr="00580B3B" w:rsidTr="00C01AE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Wymagania formalne </w:t>
            </w:r>
          </w:p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BAE" w:rsidRPr="00580B3B" w:rsidRDefault="00E82BAE" w:rsidP="00C01AE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Wymagana jest wiedza z zakresu analizy matematycznej, </w:t>
            </w:r>
            <w:r>
              <w:rPr>
                <w:rFonts w:ascii="Arial" w:eastAsia="Calibri" w:hAnsi="Arial" w:cs="Arial"/>
                <w:sz w:val="16"/>
                <w:szCs w:val="16"/>
              </w:rPr>
              <w:t>algebry oraz podstaw ekonomii.</w:t>
            </w:r>
          </w:p>
          <w:p w:rsidR="00E82BAE" w:rsidRPr="00580B3B" w:rsidRDefault="00E82BAE" w:rsidP="00C01AE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82BAE" w:rsidRPr="00580B3B" w:rsidTr="00E45F5D">
        <w:trPr>
          <w:trHeight w:val="907"/>
        </w:trPr>
        <w:tc>
          <w:tcPr>
            <w:tcW w:w="2480" w:type="dxa"/>
            <w:gridSpan w:val="2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Wiedza:</w:t>
            </w:r>
          </w:p>
          <w:p w:rsidR="00E82BAE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eastAsia="Calibri" w:hAnsi="Arial" w:cs="Arial"/>
                <w:sz w:val="16"/>
                <w:szCs w:val="16"/>
              </w:rPr>
              <w:t>–</w:t>
            </w: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Calibri" w:hAnsi="Arial" w:cs="Arial"/>
                <w:sz w:val="16"/>
                <w:szCs w:val="16"/>
              </w:rPr>
              <w:t>Posiada wiedzę z podstawowych form akumulacji kapitału, ich własności i zastosowań w finansach.</w:t>
            </w:r>
          </w:p>
          <w:p w:rsidR="00E82BAE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82BAE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 – Student zna własności ciągów płatności i ich wykorzystania do kalkulacji kredytów, wartości wewnętrznych obligacji, wyceny instrumentów pochodnych.</w:t>
            </w:r>
          </w:p>
          <w:p w:rsidR="00E82BAE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82BAE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 – Uczestnik zajęć zna zastosowania elementów matematyki finansowej do oceny ofert kredytów, lokat bankowych i prostych instrumentów finansowych dostępnych na polskim rynku kapitałowym.</w:t>
            </w:r>
          </w:p>
          <w:p w:rsidR="00E82BAE" w:rsidRPr="00580B3B" w:rsidRDefault="00E82BAE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E82BAE" w:rsidRPr="007F4D8D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7F4D8D">
              <w:rPr>
                <w:rFonts w:ascii="Arial" w:eastAsia="Calibri" w:hAnsi="Arial" w:cs="Arial"/>
                <w:sz w:val="16"/>
                <w:szCs w:val="16"/>
              </w:rPr>
              <w:t>Umiejętności:</w:t>
            </w:r>
          </w:p>
          <w:p w:rsidR="00E82BAE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7F4D8D">
              <w:rPr>
                <w:rFonts w:ascii="Arial" w:eastAsia="Calibri" w:hAnsi="Arial" w:cs="Arial"/>
                <w:bCs/>
                <w:sz w:val="16"/>
                <w:szCs w:val="16"/>
              </w:rPr>
              <w:t xml:space="preserve">1 </w:t>
            </w:r>
            <w:r>
              <w:rPr>
                <w:rFonts w:ascii="Arial" w:eastAsia="Calibri" w:hAnsi="Arial" w:cs="Arial"/>
                <w:bCs/>
                <w:sz w:val="16"/>
                <w:szCs w:val="16"/>
              </w:rPr>
              <w:t>– Potrafi obliczać przy wykorzystaniu Excela wartości przyszłe i bieżące pieniądza przy różnych procesach akumulacji kapitału.</w:t>
            </w:r>
          </w:p>
          <w:p w:rsidR="00E82BAE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E82BAE" w:rsidRPr="007F4D8D" w:rsidRDefault="00E82BAE" w:rsidP="008754F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2 – Jest w stanie w sposób ilościowy porównać efektywności różnych inwestycji, w tym lokat, obligacji, wybranych instrumentów pochodnych.</w:t>
            </w:r>
          </w:p>
        </w:tc>
        <w:tc>
          <w:tcPr>
            <w:tcW w:w="1884" w:type="dxa"/>
            <w:gridSpan w:val="4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Kompetencje:</w:t>
            </w:r>
          </w:p>
          <w:p w:rsidR="00E82BAE" w:rsidRPr="00580B3B" w:rsidRDefault="00E45F5D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1 - Student posiada umiejętność wyboru korzystnych możliwości lokowania oszczędności na polskim rynku kapitałowym.</w:t>
            </w:r>
          </w:p>
        </w:tc>
      </w:tr>
      <w:tr w:rsidR="00E82BAE" w:rsidRPr="00580B3B" w:rsidTr="008754F0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Kolokwium pisemne</w:t>
            </w:r>
          </w:p>
        </w:tc>
      </w:tr>
      <w:tr w:rsidR="00E82BAE" w:rsidRPr="00580B3B" w:rsidTr="008754F0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Kolokwium pisemne z ocenami</w:t>
            </w:r>
          </w:p>
        </w:tc>
      </w:tr>
      <w:tr w:rsidR="00E82BAE" w:rsidRPr="00580B3B" w:rsidTr="008754F0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Elementy i wagi mające wpływ</w:t>
            </w:r>
          </w:p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Kolokwium pisemne – 100%</w:t>
            </w:r>
          </w:p>
        </w:tc>
      </w:tr>
      <w:tr w:rsidR="00E82BAE" w:rsidRPr="00580B3B" w:rsidTr="008754F0">
        <w:trPr>
          <w:trHeight w:val="340"/>
        </w:trPr>
        <w:tc>
          <w:tcPr>
            <w:tcW w:w="2480" w:type="dxa"/>
            <w:gridSpan w:val="2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82BAE" w:rsidRPr="00580B3B" w:rsidRDefault="00E82BAE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Wykład -</w:t>
            </w:r>
            <w:r w:rsidR="00CA7727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80B3B">
              <w:rPr>
                <w:rFonts w:ascii="Arial" w:eastAsia="Calibri" w:hAnsi="Arial" w:cs="Arial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E82BAE" w:rsidRPr="008434A7" w:rsidTr="008754F0">
        <w:trPr>
          <w:trHeight w:val="340"/>
        </w:trPr>
        <w:tc>
          <w:tcPr>
            <w:tcW w:w="10670" w:type="dxa"/>
            <w:gridSpan w:val="12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Literatura podstawowa i uzupełniająca:</w:t>
            </w:r>
          </w:p>
          <w:p w:rsidR="00E82BAE" w:rsidRPr="00580B3B" w:rsidRDefault="00E82BAE" w:rsidP="008754F0">
            <w:pPr>
              <w:tabs>
                <w:tab w:val="left" w:pos="4680"/>
              </w:tabs>
              <w:spacing w:after="0" w:line="36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Literatura podstawowa:</w:t>
            </w:r>
          </w:p>
          <w:p w:rsidR="00E82BAE" w:rsidRDefault="00E82BAE" w:rsidP="00E82BAE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A. Karpio, </w:t>
            </w:r>
            <w:r w:rsidR="004A0BE8">
              <w:rPr>
                <w:rFonts w:ascii="Arial" w:eastAsia="Calibri" w:hAnsi="Arial" w:cs="Arial"/>
                <w:i/>
                <w:sz w:val="16"/>
                <w:szCs w:val="16"/>
              </w:rPr>
              <w:t>Treść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 xml:space="preserve"> wykładów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  <w:p w:rsidR="00E82BAE" w:rsidRPr="008434A7" w:rsidRDefault="00E82BAE" w:rsidP="00E82BAE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 w:rsidRPr="008434A7">
              <w:rPr>
                <w:rFonts w:ascii="Arial" w:eastAsia="Calibri" w:hAnsi="Arial" w:cs="Arial"/>
                <w:sz w:val="16"/>
                <w:szCs w:val="16"/>
              </w:rPr>
              <w:t xml:space="preserve">K. Piasecki, W. Ronka-Chmielowiec, 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>Matematyka Finansowa</w:t>
            </w:r>
            <w:r w:rsidRPr="008434A7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C. H. </w:t>
            </w:r>
            <w:r w:rsidRPr="008434A7">
              <w:rPr>
                <w:rFonts w:ascii="Arial" w:eastAsia="Calibri" w:hAnsi="Arial" w:cs="Arial"/>
                <w:sz w:val="16"/>
                <w:szCs w:val="16"/>
              </w:rPr>
              <w:t>Beck, Warszawa 2011</w:t>
            </w:r>
          </w:p>
          <w:p w:rsidR="00E82BAE" w:rsidRDefault="00E82BAE" w:rsidP="00E82BAE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M. Sobczyk, Matematyka Finansowa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>, Podstawy teoretyczne, przykłady, zadania</w:t>
            </w:r>
            <w:r>
              <w:rPr>
                <w:rFonts w:ascii="Arial" w:eastAsia="Calibri" w:hAnsi="Arial" w:cs="Arial"/>
                <w:sz w:val="16"/>
                <w:szCs w:val="16"/>
              </w:rPr>
              <w:t>, Placet, Warszawa 2011.</w:t>
            </w:r>
          </w:p>
          <w:p w:rsidR="00E82BAE" w:rsidRPr="008434A7" w:rsidRDefault="00E82BAE" w:rsidP="00E82BAE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P.Jaworski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J.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Micał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CA7727">
              <w:rPr>
                <w:rFonts w:ascii="Arial" w:eastAsia="Calibri" w:hAnsi="Arial" w:cs="Arial"/>
                <w:i/>
                <w:sz w:val="16"/>
                <w:szCs w:val="16"/>
              </w:rPr>
              <w:t>Modelowanie matematyczne w finansach i ubezpieczeniach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Poltext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>, Warszawa 2005.</w:t>
            </w:r>
          </w:p>
          <w:p w:rsidR="00E82BAE" w:rsidRPr="008434A7" w:rsidRDefault="00E82BAE" w:rsidP="008754F0">
            <w:pPr>
              <w:tabs>
                <w:tab w:val="num" w:pos="1080"/>
                <w:tab w:val="left" w:pos="4680"/>
              </w:tabs>
              <w:spacing w:after="0" w:line="360" w:lineRule="auto"/>
              <w:rPr>
                <w:rFonts w:ascii="Arial" w:eastAsia="Calibri" w:hAnsi="Arial" w:cs="Arial"/>
                <w:sz w:val="16"/>
                <w:szCs w:val="16"/>
                <w:lang w:val="en-GB"/>
              </w:rPr>
            </w:pPr>
            <w:proofErr w:type="spellStart"/>
            <w:r w:rsidRPr="008434A7">
              <w:rPr>
                <w:rFonts w:ascii="Arial" w:eastAsia="Calibri" w:hAnsi="Arial" w:cs="Arial"/>
                <w:sz w:val="16"/>
                <w:szCs w:val="16"/>
                <w:lang w:val="en-GB"/>
              </w:rPr>
              <w:t>Literatura</w:t>
            </w:r>
            <w:proofErr w:type="spellEnd"/>
            <w:r w:rsidRPr="008434A7">
              <w:rPr>
                <w:rFonts w:ascii="Arial" w:eastAsia="Calibri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434A7">
              <w:rPr>
                <w:rFonts w:ascii="Arial" w:eastAsia="Calibri" w:hAnsi="Arial" w:cs="Arial"/>
                <w:sz w:val="16"/>
                <w:szCs w:val="16"/>
                <w:lang w:val="en-GB"/>
              </w:rPr>
              <w:t>uzupełniająca</w:t>
            </w:r>
            <w:proofErr w:type="spellEnd"/>
            <w:r w:rsidRPr="008434A7">
              <w:rPr>
                <w:rFonts w:ascii="Arial" w:eastAsia="Calibri" w:hAnsi="Arial" w:cs="Arial"/>
                <w:sz w:val="16"/>
                <w:szCs w:val="16"/>
                <w:lang w:val="en-GB"/>
              </w:rPr>
              <w:t>:</w:t>
            </w:r>
          </w:p>
          <w:p w:rsidR="00E82BAE" w:rsidRPr="008434A7" w:rsidRDefault="00E82BAE" w:rsidP="00E82BAE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434A7">
              <w:rPr>
                <w:rFonts w:ascii="Arial" w:eastAsia="Calibri" w:hAnsi="Arial" w:cs="Arial"/>
                <w:sz w:val="16"/>
                <w:szCs w:val="16"/>
              </w:rPr>
              <w:t xml:space="preserve">K.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Pera, R. Buła, D.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Mitrenga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>Modele inwestycyjne</w:t>
            </w:r>
            <w:r>
              <w:rPr>
                <w:rFonts w:ascii="Arial" w:eastAsia="Calibri" w:hAnsi="Arial" w:cs="Arial"/>
                <w:sz w:val="16"/>
                <w:szCs w:val="16"/>
              </w:rPr>
              <w:t>, C. H. Beck, Warszawa 2014.</w:t>
            </w:r>
          </w:p>
          <w:p w:rsidR="00E82BAE" w:rsidRPr="008434A7" w:rsidRDefault="00E82BAE" w:rsidP="00E82BAE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 w:rsidRPr="008434A7">
              <w:rPr>
                <w:rFonts w:ascii="Arial" w:eastAsia="Calibri" w:hAnsi="Arial" w:cs="Arial"/>
                <w:sz w:val="16"/>
                <w:szCs w:val="16"/>
              </w:rPr>
              <w:t xml:space="preserve">K. Piasecki, 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>Modele Matematyki Finansowej</w:t>
            </w:r>
            <w:r w:rsidRPr="008434A7">
              <w:rPr>
                <w:rFonts w:ascii="Arial" w:eastAsia="Calibri" w:hAnsi="Arial" w:cs="Arial"/>
                <w:sz w:val="16"/>
                <w:szCs w:val="16"/>
              </w:rPr>
              <w:t>, PWN, Warszawa 2007.</w:t>
            </w:r>
          </w:p>
        </w:tc>
      </w:tr>
      <w:tr w:rsidR="00E82BAE" w:rsidRPr="00580B3B" w:rsidTr="008754F0">
        <w:trPr>
          <w:trHeight w:val="340"/>
        </w:trPr>
        <w:tc>
          <w:tcPr>
            <w:tcW w:w="10670" w:type="dxa"/>
            <w:gridSpan w:val="12"/>
            <w:vAlign w:val="center"/>
          </w:tcPr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UWAGI</w:t>
            </w:r>
          </w:p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Minimalna liczba punktów konieczna do zaliczenia: 50%</w:t>
            </w:r>
          </w:p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E82BAE" w:rsidRPr="00580B3B" w:rsidRDefault="00E82BAE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E82BAE" w:rsidRPr="00580B3B" w:rsidRDefault="00E82BAE" w:rsidP="00E82BAE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580B3B">
        <w:rPr>
          <w:rFonts w:ascii="Calibri" w:eastAsia="Calibri" w:hAnsi="Calibri" w:cs="Times New Roman"/>
          <w:sz w:val="16"/>
        </w:rPr>
        <w:br/>
      </w:r>
    </w:p>
    <w:p w:rsidR="00E82BAE" w:rsidRPr="00580B3B" w:rsidRDefault="00E82BAE" w:rsidP="00E82BAE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580B3B">
        <w:rPr>
          <w:rFonts w:ascii="Calibri" w:eastAsia="Calibri" w:hAnsi="Calibri" w:cs="Times New Roman"/>
          <w:sz w:val="16"/>
        </w:rPr>
        <w:br w:type="page"/>
      </w:r>
    </w:p>
    <w:p w:rsidR="00E82BAE" w:rsidRPr="00580B3B" w:rsidRDefault="00E82BAE" w:rsidP="00E82BAE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580B3B">
        <w:rPr>
          <w:rFonts w:ascii="Calibri" w:eastAsia="Calibri" w:hAnsi="Calibri" w:cs="Times New Roman"/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82BAE" w:rsidRPr="00580B3B" w:rsidTr="008754F0">
        <w:trPr>
          <w:trHeight w:val="536"/>
        </w:trPr>
        <w:tc>
          <w:tcPr>
            <w:tcW w:w="9070" w:type="dxa"/>
            <w:vAlign w:val="center"/>
          </w:tcPr>
          <w:p w:rsidR="00E82BAE" w:rsidRPr="00580B3B" w:rsidRDefault="00E82BAE" w:rsidP="008754F0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E82BAE" w:rsidRPr="00580B3B" w:rsidRDefault="00153EB9" w:rsidP="008754F0">
            <w:pPr>
              <w:spacing w:after="0" w:line="360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120</w:t>
            </w:r>
            <w:r w:rsidR="00E82BAE" w:rsidRPr="00580B3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82BAE" w:rsidRPr="00580B3B" w:rsidTr="008754F0">
        <w:trPr>
          <w:trHeight w:val="476"/>
        </w:trPr>
        <w:tc>
          <w:tcPr>
            <w:tcW w:w="9070" w:type="dxa"/>
            <w:vAlign w:val="center"/>
          </w:tcPr>
          <w:p w:rsidR="00E82BAE" w:rsidRPr="00580B3B" w:rsidRDefault="00E82BAE" w:rsidP="008754F0">
            <w:pPr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E82BAE" w:rsidRPr="00580B3B" w:rsidRDefault="009D5E6E" w:rsidP="008754F0">
            <w:pPr>
              <w:spacing w:after="0" w:line="360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1,5</w:t>
            </w:r>
            <w:r w:rsidR="00E82BAE" w:rsidRPr="00580B3B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82BAE" w:rsidRPr="00580B3B" w:rsidRDefault="00E82BAE" w:rsidP="00E82BAE">
      <w:pPr>
        <w:spacing w:after="0" w:line="360" w:lineRule="auto"/>
        <w:rPr>
          <w:rFonts w:ascii="Calibri" w:eastAsia="Calibri" w:hAnsi="Calibri" w:cs="Times New Roman"/>
        </w:rPr>
      </w:pPr>
    </w:p>
    <w:p w:rsidR="00E82BAE" w:rsidRPr="00580B3B" w:rsidRDefault="00E82BAE" w:rsidP="00E82BAE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580B3B">
        <w:rPr>
          <w:rFonts w:ascii="Calibri" w:eastAsia="Calibri" w:hAnsi="Calibri" w:cs="Times New Roman"/>
          <w:sz w:val="18"/>
        </w:rPr>
        <w:t>Tabela zgodności kierunkowych efektów uczenia się z efektami przedmiotu:</w:t>
      </w:r>
    </w:p>
    <w:p w:rsidR="00E82BAE" w:rsidRPr="00580B3B" w:rsidRDefault="00E82BAE" w:rsidP="00E82BAE">
      <w:pPr>
        <w:spacing w:after="0" w:line="360" w:lineRule="auto"/>
        <w:rPr>
          <w:rFonts w:ascii="Calibri" w:eastAsia="Calibri" w:hAnsi="Calibri" w:cs="Times New Roman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E82BAE" w:rsidRPr="00580B3B" w:rsidTr="008754F0">
        <w:tc>
          <w:tcPr>
            <w:tcW w:w="1547" w:type="dxa"/>
          </w:tcPr>
          <w:p w:rsidR="00E82BAE" w:rsidRPr="00580B3B" w:rsidRDefault="00E82BAE" w:rsidP="008754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E82BAE" w:rsidRPr="00580B3B" w:rsidRDefault="00E82BAE" w:rsidP="008754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E82BAE" w:rsidRPr="00580B3B" w:rsidRDefault="00E82BAE" w:rsidP="008754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E82BAE" w:rsidRPr="00580B3B" w:rsidRDefault="00E82BAE" w:rsidP="008754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8"/>
                <w:szCs w:val="18"/>
              </w:rPr>
              <w:t>Oddziaływanie zajęć na efekt kierunkowy*</w:t>
            </w:r>
            <w:r w:rsidRPr="00580B3B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625CDC" w:rsidRPr="00580B3B" w:rsidTr="00766A40">
        <w:tc>
          <w:tcPr>
            <w:tcW w:w="1547" w:type="dxa"/>
          </w:tcPr>
          <w:p w:rsidR="00625CDC" w:rsidRPr="00580B3B" w:rsidRDefault="00625CDC" w:rsidP="00625CDC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625CDC" w:rsidRPr="00663550" w:rsidRDefault="00625CDC" w:rsidP="00625CDC">
            <w:pPr>
              <w:spacing w:after="0" w:line="276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Posiada wiedzę z podstawowych form akumulacji kapitału, ich własności i zastosowań w finansach.</w:t>
            </w:r>
          </w:p>
        </w:tc>
        <w:tc>
          <w:tcPr>
            <w:tcW w:w="3001" w:type="dxa"/>
            <w:vAlign w:val="center"/>
          </w:tcPr>
          <w:p w:rsidR="00625CDC" w:rsidRPr="00580B3B" w:rsidRDefault="00625CDC" w:rsidP="00766A4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K_W16</w:t>
            </w: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Pr="00580B3B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625CDC" w:rsidRPr="00580B3B" w:rsidRDefault="00625CDC" w:rsidP="00625CDC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3</w:t>
            </w:r>
          </w:p>
        </w:tc>
      </w:tr>
      <w:tr w:rsidR="00625CDC" w:rsidRPr="00580B3B" w:rsidTr="00766A40">
        <w:tc>
          <w:tcPr>
            <w:tcW w:w="1547" w:type="dxa"/>
          </w:tcPr>
          <w:p w:rsidR="00625CDC" w:rsidRPr="00580B3B" w:rsidRDefault="00625CDC" w:rsidP="00625CDC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625CDC" w:rsidRPr="00580B3B" w:rsidRDefault="00625CDC" w:rsidP="00625CDC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Student zna własności ciągów płatności i ich wykorzystania do kalkulacji kredytów, wartości wewnętrznych obligacji, wyceny instrumentów pochodnych.</w:t>
            </w:r>
          </w:p>
        </w:tc>
        <w:tc>
          <w:tcPr>
            <w:tcW w:w="3001" w:type="dxa"/>
            <w:vAlign w:val="center"/>
          </w:tcPr>
          <w:p w:rsidR="00625CDC" w:rsidRPr="00580B3B" w:rsidRDefault="00625CDC" w:rsidP="00766A4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K_U02</w:t>
            </w: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P6S_UW</w:t>
            </w:r>
          </w:p>
        </w:tc>
        <w:tc>
          <w:tcPr>
            <w:tcW w:w="1381" w:type="dxa"/>
            <w:vAlign w:val="center"/>
          </w:tcPr>
          <w:p w:rsidR="00625CDC" w:rsidRPr="00580B3B" w:rsidRDefault="00625CDC" w:rsidP="00625CDC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2</w:t>
            </w:r>
          </w:p>
        </w:tc>
      </w:tr>
      <w:tr w:rsidR="00625CDC" w:rsidRPr="00580B3B" w:rsidTr="00766A40">
        <w:tc>
          <w:tcPr>
            <w:tcW w:w="1547" w:type="dxa"/>
          </w:tcPr>
          <w:p w:rsidR="00625CDC" w:rsidRPr="00580B3B" w:rsidRDefault="00625CDC" w:rsidP="00625CDC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625CDC" w:rsidRPr="00580B3B" w:rsidRDefault="00625CDC" w:rsidP="00625CDC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Uczestnik zajęć zna zastosowania elementów matematyki finansowej do oceny ofert kredytów, lokat bankowych i prostych instrumentów finansowych dostępnych na polskim rynku kapitałowym.</w:t>
            </w:r>
          </w:p>
        </w:tc>
        <w:tc>
          <w:tcPr>
            <w:tcW w:w="3001" w:type="dxa"/>
            <w:vAlign w:val="center"/>
          </w:tcPr>
          <w:p w:rsidR="00625CDC" w:rsidRPr="00580B3B" w:rsidRDefault="00625CDC" w:rsidP="00766A4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K_W14 /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Pr="00580B3B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625CDC" w:rsidRPr="00580B3B" w:rsidRDefault="00625CDC" w:rsidP="00625CDC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625CDC" w:rsidRPr="00580B3B" w:rsidTr="00766A40">
        <w:tc>
          <w:tcPr>
            <w:tcW w:w="1547" w:type="dxa"/>
          </w:tcPr>
          <w:p w:rsidR="00625CDC" w:rsidRPr="00580B3B" w:rsidRDefault="00625CDC" w:rsidP="00625CDC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625CDC" w:rsidRPr="00580B3B" w:rsidRDefault="00625CDC" w:rsidP="00625CDC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Potrafi obliczać przy wykorzystaniu Excela wartości przyszłe i bieżące pieniądza przy różnych procesach akumulacji kapitału.</w:t>
            </w:r>
          </w:p>
        </w:tc>
        <w:tc>
          <w:tcPr>
            <w:tcW w:w="3001" w:type="dxa"/>
            <w:vAlign w:val="center"/>
          </w:tcPr>
          <w:p w:rsidR="00625CDC" w:rsidRPr="00580B3B" w:rsidRDefault="00625CDC" w:rsidP="00766A40">
            <w:pPr>
              <w:autoSpaceDE w:val="0"/>
              <w:autoSpaceDN w:val="0"/>
              <w:adjustRightInd w:val="0"/>
              <w:spacing w:after="0" w:line="360" w:lineRule="auto"/>
              <w:ind w:right="1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K_U01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/ P6</w:t>
            </w:r>
            <w:r w:rsidRPr="00580B3B">
              <w:rPr>
                <w:rFonts w:ascii="Calibri" w:eastAsia="Calibri" w:hAnsi="Calibri" w:cs="Calibr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625CDC" w:rsidRPr="00580B3B" w:rsidRDefault="00625CDC" w:rsidP="00625CDC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625CDC" w:rsidRPr="00580B3B" w:rsidTr="00766A40">
        <w:tc>
          <w:tcPr>
            <w:tcW w:w="1547" w:type="dxa"/>
          </w:tcPr>
          <w:p w:rsidR="00625CDC" w:rsidRPr="00580B3B" w:rsidRDefault="00625CDC" w:rsidP="00625CDC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625CDC" w:rsidRPr="00DD65A0" w:rsidRDefault="00625CDC" w:rsidP="00625CDC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Jest w stanie w sposób ilościowy porównać efektywności różnych inwestycji, w tym lokat, obligacji, wybranych instrumentów pochodnych.</w:t>
            </w:r>
          </w:p>
        </w:tc>
        <w:tc>
          <w:tcPr>
            <w:tcW w:w="3001" w:type="dxa"/>
            <w:vAlign w:val="center"/>
          </w:tcPr>
          <w:p w:rsidR="00625CDC" w:rsidRPr="00580B3B" w:rsidRDefault="00625CDC" w:rsidP="00766A40">
            <w:pPr>
              <w:autoSpaceDE w:val="0"/>
              <w:autoSpaceDN w:val="0"/>
              <w:adjustRightInd w:val="0"/>
              <w:spacing w:after="0" w:line="360" w:lineRule="auto"/>
              <w:ind w:right="1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K_U02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/ P6</w:t>
            </w:r>
            <w:r w:rsidRPr="00580B3B">
              <w:rPr>
                <w:rFonts w:ascii="Calibri" w:eastAsia="Calibri" w:hAnsi="Calibri" w:cs="Calibr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625CDC" w:rsidRPr="00580B3B" w:rsidRDefault="00575C97" w:rsidP="00625CDC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2</w:t>
            </w:r>
          </w:p>
        </w:tc>
      </w:tr>
      <w:tr w:rsidR="00625CDC" w:rsidRPr="00580B3B" w:rsidTr="00766A40">
        <w:tc>
          <w:tcPr>
            <w:tcW w:w="1547" w:type="dxa"/>
          </w:tcPr>
          <w:p w:rsidR="00625CDC" w:rsidRPr="00580B3B" w:rsidRDefault="00625CDC" w:rsidP="00625CDC">
            <w:pPr>
              <w:spacing w:after="0" w:line="360" w:lineRule="auto"/>
              <w:rPr>
                <w:rFonts w:ascii="Calibri" w:eastAsia="Calibri" w:hAnsi="Calibri" w:cs="Times New Roman"/>
                <w:bCs/>
                <w:color w:val="A6A6A6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625CDC" w:rsidRPr="00580B3B" w:rsidRDefault="00625CDC" w:rsidP="00625CDC">
            <w:pPr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Student posiada umiejętność wyboru korzystnych możliwości lokowania oszczędności na polskim rynku kapitałowym.</w:t>
            </w:r>
          </w:p>
        </w:tc>
        <w:tc>
          <w:tcPr>
            <w:tcW w:w="3001" w:type="dxa"/>
            <w:vAlign w:val="center"/>
          </w:tcPr>
          <w:p w:rsidR="00625CDC" w:rsidRPr="00580B3B" w:rsidRDefault="00625CDC" w:rsidP="00766A4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K_K06 / P7S_KR</w:t>
            </w:r>
          </w:p>
        </w:tc>
        <w:tc>
          <w:tcPr>
            <w:tcW w:w="1381" w:type="dxa"/>
            <w:vAlign w:val="center"/>
          </w:tcPr>
          <w:p w:rsidR="00625CDC" w:rsidRPr="00580B3B" w:rsidRDefault="00625CDC" w:rsidP="00625CDC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</w:tbl>
    <w:p w:rsidR="00E82BAE" w:rsidRPr="00580B3B" w:rsidRDefault="00E82BAE" w:rsidP="00E82BAE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</w:p>
    <w:p w:rsidR="00E82BAE" w:rsidRPr="00580B3B" w:rsidRDefault="00E82BAE" w:rsidP="00E82BAE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580B3B">
        <w:rPr>
          <w:rFonts w:ascii="Calibri" w:eastAsia="Calibri" w:hAnsi="Calibri" w:cs="Times New Roman"/>
          <w:sz w:val="20"/>
          <w:szCs w:val="20"/>
        </w:rPr>
        <w:t>*)</w:t>
      </w:r>
    </w:p>
    <w:p w:rsidR="00E82BAE" w:rsidRPr="00580B3B" w:rsidRDefault="00E82BAE" w:rsidP="00E82BAE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580B3B">
        <w:rPr>
          <w:rFonts w:ascii="Calibri" w:eastAsia="Calibri" w:hAnsi="Calibri" w:cs="Times New Roman"/>
          <w:sz w:val="20"/>
          <w:szCs w:val="20"/>
        </w:rPr>
        <w:t xml:space="preserve">3 – zaawansowany i szczegółowy, </w:t>
      </w:r>
    </w:p>
    <w:p w:rsidR="00E82BAE" w:rsidRPr="00580B3B" w:rsidRDefault="00E82BAE" w:rsidP="00E82BAE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580B3B">
        <w:rPr>
          <w:rFonts w:ascii="Calibri" w:eastAsia="Calibri" w:hAnsi="Calibri" w:cs="Times New Roman"/>
          <w:sz w:val="20"/>
          <w:szCs w:val="20"/>
        </w:rPr>
        <w:t>2 – znaczący,</w:t>
      </w:r>
    </w:p>
    <w:p w:rsidR="00E82BAE" w:rsidRPr="00580B3B" w:rsidRDefault="00E82BAE" w:rsidP="00E82BAE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580B3B">
        <w:rPr>
          <w:rFonts w:ascii="Calibri" w:eastAsia="Calibri" w:hAnsi="Calibri" w:cs="Times New Roman"/>
          <w:sz w:val="20"/>
          <w:szCs w:val="20"/>
        </w:rPr>
        <w:t>1 – podstawowy,</w:t>
      </w:r>
    </w:p>
    <w:p w:rsidR="00E82BAE" w:rsidRPr="00580B3B" w:rsidRDefault="00E82BAE" w:rsidP="00E82BAE">
      <w:pPr>
        <w:spacing w:after="0" w:line="360" w:lineRule="auto"/>
        <w:rPr>
          <w:rFonts w:ascii="Calibri" w:eastAsia="Calibri" w:hAnsi="Calibri" w:cs="Times New Roman"/>
        </w:rPr>
      </w:pPr>
    </w:p>
    <w:p w:rsidR="00E82BAE" w:rsidRDefault="00E82BAE" w:rsidP="00E82BAE"/>
    <w:p w:rsidR="00727FEE" w:rsidRDefault="00727FEE"/>
    <w:sectPr w:rsidR="00727FEE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4C"/>
    <w:rsid w:val="0008173A"/>
    <w:rsid w:val="0008204C"/>
    <w:rsid w:val="00095594"/>
    <w:rsid w:val="00153EB9"/>
    <w:rsid w:val="002F69A7"/>
    <w:rsid w:val="004A0BE8"/>
    <w:rsid w:val="004C691C"/>
    <w:rsid w:val="00575C97"/>
    <w:rsid w:val="00625CDC"/>
    <w:rsid w:val="00727FEE"/>
    <w:rsid w:val="00766A40"/>
    <w:rsid w:val="0081355D"/>
    <w:rsid w:val="009D5E6E"/>
    <w:rsid w:val="00A37EAD"/>
    <w:rsid w:val="00AA5934"/>
    <w:rsid w:val="00BE490B"/>
    <w:rsid w:val="00C01AE0"/>
    <w:rsid w:val="00CA7727"/>
    <w:rsid w:val="00E45F5D"/>
    <w:rsid w:val="00E82BAE"/>
    <w:rsid w:val="00FD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5E353-135B-42F6-97DE-5FDD984E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2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Karpio</dc:creator>
  <cp:keywords/>
  <dc:description/>
  <cp:lastModifiedBy>Joanna Landmesser</cp:lastModifiedBy>
  <cp:revision>21</cp:revision>
  <dcterms:created xsi:type="dcterms:W3CDTF">2019-05-05T13:21:00Z</dcterms:created>
  <dcterms:modified xsi:type="dcterms:W3CDTF">2019-05-12T10:20:00Z</dcterms:modified>
</cp:coreProperties>
</file>