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9F5D55" w:rsidRDefault="009F5D55" w:rsidP="009F5D55">
            <w:pPr>
              <w:spacing w:line="240" w:lineRule="auto"/>
              <w:rPr>
                <w:sz w:val="20"/>
                <w:szCs w:val="20"/>
                <w:vertAlign w:val="superscript"/>
                <w:lang w:val="en-US"/>
              </w:rPr>
            </w:pPr>
            <w:r w:rsidRPr="009F5D55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Basics of financial engineering 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40BA6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F5D55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9F5D55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F5D5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F5D55">
              <w:rPr>
                <w:bCs/>
                <w:sz w:val="16"/>
                <w:szCs w:val="16"/>
              </w:rPr>
              <w:t>Podstawy inżynierii finansowej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4433D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A40BA6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E399D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BE399D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40BA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="00D373CB"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D373C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40BA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A40BA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40BA6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40BA6" w:rsidP="00A40BA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373CB" w:rsidP="009F5D5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9F5D55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/202</w:t>
            </w:r>
            <w:r w:rsidR="009F5D55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F5D55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D373CB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D373CB">
              <w:rPr>
                <w:b/>
                <w:sz w:val="16"/>
                <w:szCs w:val="16"/>
              </w:rPr>
              <w:t>2S-03Z-18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9636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63624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Pr="00B1133B" w:rsidRDefault="00B1133B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1133B">
              <w:rPr>
                <w:rFonts w:ascii="Arial" w:hAnsi="Arial" w:cs="Arial"/>
                <w:sz w:val="16"/>
                <w:szCs w:val="16"/>
                <w:lang w:val="en-US"/>
              </w:rPr>
              <w:t>The course is aimed at providing the information about financial investments on commodity and financial markets through derivatives written on different underlying assets</w:t>
            </w:r>
            <w:r w:rsidR="00963624" w:rsidRPr="00B1133B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about their pricing and verification  of </w:t>
            </w:r>
            <w:r w:rsidR="00963624" w:rsidRPr="00B1133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profitabili</w:t>
            </w:r>
            <w:r w:rsidR="00306E0B">
              <w:rPr>
                <w:rFonts w:ascii="Arial" w:hAnsi="Arial" w:cs="Arial"/>
                <w:sz w:val="16"/>
                <w:szCs w:val="16"/>
                <w:lang w:val="en-US"/>
              </w:rPr>
              <w:t>ty of their application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in different market conditions.</w:t>
            </w:r>
            <w:r w:rsidR="00963624" w:rsidRPr="00B1133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 w:rsidR="00EA7AAA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ych podczas zajęć</w:t>
            </w:r>
            <w:r w:rsidR="00306E0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(list of topics dis</w:t>
            </w:r>
            <w:r w:rsidR="00B1133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cussed)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EA7AAA" w:rsidRPr="0067513A" w:rsidRDefault="00EA7AAA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>The c</w:t>
            </w:r>
            <w:r w:rsidR="00255E48">
              <w:rPr>
                <w:rFonts w:ascii="Arial" w:hAnsi="Arial" w:cs="Arial"/>
                <w:iCs/>
                <w:sz w:val="16"/>
                <w:szCs w:val="16"/>
                <w:lang w:val="en-US"/>
              </w:rPr>
              <w:t>oncept of financial engineering</w:t>
            </w:r>
            <w:r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, </w:t>
            </w:r>
            <w:r w:rsidR="0067513A">
              <w:rPr>
                <w:rFonts w:ascii="Arial" w:hAnsi="Arial" w:cs="Arial"/>
                <w:iCs/>
                <w:sz w:val="16"/>
                <w:szCs w:val="16"/>
                <w:lang w:val="en-US"/>
              </w:rPr>
              <w:t>its origin and subject</w:t>
            </w:r>
            <w:r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>.</w:t>
            </w:r>
          </w:p>
          <w:p w:rsidR="00151533" w:rsidRPr="00EA7AAA" w:rsidRDefault="00C7572C" w:rsidP="0096362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  <w:r w:rsidR="00EA7AAA"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>Financial and commodity markets as the environment for financial engineering.</w:t>
            </w:r>
            <w:r w:rsidR="00963624" w:rsidRPr="00EA7AAA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</w:t>
            </w:r>
          </w:p>
          <w:p w:rsidR="00151533" w:rsidRPr="00EA7AAA" w:rsidRDefault="00EA7A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7AAA">
              <w:rPr>
                <w:rFonts w:ascii="Arial" w:hAnsi="Arial" w:cs="Arial"/>
                <w:sz w:val="16"/>
                <w:szCs w:val="16"/>
                <w:lang w:val="en-US"/>
              </w:rPr>
              <w:t xml:space="preserve">Standard forward and futures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contracts</w:t>
            </w:r>
            <w:r w:rsidR="00C7572C" w:rsidRPr="00EA7AAA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:rsidR="00C7572C" w:rsidRDefault="00EA7AAA" w:rsidP="00C7572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C7572C">
              <w:rPr>
                <w:rFonts w:ascii="Arial" w:hAnsi="Arial" w:cs="Arial"/>
                <w:sz w:val="16"/>
                <w:szCs w:val="16"/>
              </w:rPr>
              <w:t xml:space="preserve"> forward</w:t>
            </w:r>
            <w:r w:rsidR="00255E48">
              <w:rPr>
                <w:rFonts w:ascii="Arial" w:hAnsi="Arial" w:cs="Arial"/>
                <w:sz w:val="16"/>
                <w:szCs w:val="16"/>
              </w:rPr>
              <w:t xml:space="preserve"> price</w:t>
            </w:r>
            <w:r w:rsidR="00C7572C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Pr="00107772" w:rsidRDefault="00EA7AAA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A40BA6">
              <w:rPr>
                <w:rFonts w:ascii="Arial" w:hAnsi="Arial" w:cs="Arial"/>
                <w:sz w:val="16"/>
                <w:szCs w:val="16"/>
              </w:rPr>
              <w:t>futures</w:t>
            </w:r>
            <w:r w:rsidR="00255E48">
              <w:rPr>
                <w:rFonts w:ascii="Arial" w:hAnsi="Arial" w:cs="Arial"/>
                <w:sz w:val="16"/>
                <w:szCs w:val="16"/>
              </w:rPr>
              <w:t xml:space="preserve"> price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40BA6" w:rsidRPr="00EA7AAA" w:rsidRDefault="00EA7A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7AAA">
              <w:rPr>
                <w:rFonts w:ascii="Arial" w:hAnsi="Arial" w:cs="Arial"/>
                <w:sz w:val="16"/>
                <w:szCs w:val="16"/>
                <w:lang w:val="en-US"/>
              </w:rPr>
              <w:t>Standard options and methods for their pricing</w:t>
            </w:r>
            <w:r w:rsidR="00A40BA6" w:rsidRPr="00EA7AAA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:rsidR="00A40BA6" w:rsidRPr="00255E48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55E48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EA7AAA" w:rsidRPr="00255E48">
              <w:rPr>
                <w:rFonts w:ascii="Arial" w:hAnsi="Arial" w:cs="Arial"/>
                <w:sz w:val="16"/>
                <w:szCs w:val="16"/>
                <w:lang w:val="en-US"/>
              </w:rPr>
              <w:t>Black</w:t>
            </w:r>
            <w:r w:rsidRPr="00255E48">
              <w:rPr>
                <w:rFonts w:ascii="Arial" w:hAnsi="Arial" w:cs="Arial"/>
                <w:sz w:val="16"/>
                <w:szCs w:val="16"/>
                <w:lang w:val="en-US"/>
              </w:rPr>
              <w:t>-Scholes</w:t>
            </w:r>
            <w:r w:rsidR="00EA7AAA" w:rsidRPr="00255E48">
              <w:rPr>
                <w:rFonts w:ascii="Arial" w:hAnsi="Arial" w:cs="Arial"/>
                <w:sz w:val="16"/>
                <w:szCs w:val="16"/>
                <w:lang w:val="en-US"/>
              </w:rPr>
              <w:t xml:space="preserve"> model</w:t>
            </w:r>
            <w:r w:rsidRPr="00255E48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</w:p>
          <w:p w:rsidR="00A40BA6" w:rsidRPr="00EA7AAA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7AAA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EA7AAA" w:rsidRPr="00EA7AAA">
              <w:rPr>
                <w:rFonts w:ascii="Arial" w:hAnsi="Arial" w:cs="Arial"/>
                <w:sz w:val="16"/>
                <w:szCs w:val="16"/>
                <w:lang w:val="en-US"/>
              </w:rPr>
              <w:t>Cox-Ross-Rubinstein model  (binomial model</w:t>
            </w:r>
            <w:r w:rsidRPr="00EA7AAA">
              <w:rPr>
                <w:rFonts w:ascii="Arial" w:hAnsi="Arial" w:cs="Arial"/>
                <w:sz w:val="16"/>
                <w:szCs w:val="16"/>
                <w:lang w:val="en-US"/>
              </w:rPr>
              <w:t>).</w:t>
            </w:r>
          </w:p>
          <w:p w:rsidR="00A40BA6" w:rsidRPr="00A40BA6" w:rsidRDefault="00EA7AAA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Options sensitivity</w:t>
            </w:r>
            <w:r w:rsidR="0067513A">
              <w:rPr>
                <w:rFonts w:ascii="Arial" w:hAnsi="Arial" w:cs="Arial"/>
                <w:sz w:val="16"/>
                <w:szCs w:val="16"/>
              </w:rPr>
              <w:t xml:space="preserve"> (Greeks)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7572C" w:rsidRPr="00107772" w:rsidRDefault="00EA7AAA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Historical and implied volatilities.</w:t>
            </w:r>
          </w:p>
          <w:p w:rsidR="00A40BA6" w:rsidRDefault="00EA7AAA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Option hedging strategies</w:t>
            </w:r>
            <w:r w:rsidR="00A40BA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40BA6" w:rsidRDefault="00A40BA6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s</w:t>
            </w:r>
            <w:r w:rsidR="00EA7AAA">
              <w:rPr>
                <w:rFonts w:ascii="Arial" w:hAnsi="Arial" w:cs="Arial"/>
                <w:sz w:val="16"/>
                <w:szCs w:val="16"/>
              </w:rPr>
              <w:t>preads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107772" w:rsidRDefault="00255E48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combination</w:t>
            </w:r>
            <w:r w:rsidR="00B1133B">
              <w:rPr>
                <w:rFonts w:ascii="Arial" w:hAnsi="Arial" w:cs="Arial"/>
                <w:sz w:val="16"/>
                <w:szCs w:val="16"/>
              </w:rPr>
              <w:t>s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40BA6" w:rsidRDefault="00B1133B" w:rsidP="00A40BA6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Selected non-standard options</w:t>
            </w:r>
            <w:r w:rsidR="00C7572C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A40BA6" w:rsidRDefault="00255E48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path</w:t>
            </w:r>
            <w:r w:rsidR="00B1133B">
              <w:rPr>
                <w:rFonts w:ascii="Arial" w:hAnsi="Arial" w:cs="Arial"/>
                <w:sz w:val="16"/>
                <w:szCs w:val="16"/>
              </w:rPr>
              <w:t>-dependent options</w:t>
            </w:r>
            <w:r w:rsidR="00A40BA6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B1133B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time-dependent options</w:t>
            </w:r>
            <w:r w:rsidR="00A40BA6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40BA6" w:rsidRDefault="00B1133B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binary options</w:t>
            </w:r>
            <w:r w:rsidR="00A40BA6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151533" w:rsidRPr="00A40BA6" w:rsidRDefault="00B1133B" w:rsidP="00A40BA6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two-asset options</w:t>
            </w:r>
            <w:r w:rsidR="00A40BA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66E2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66E2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255E48">
              <w:rPr>
                <w:rFonts w:ascii="Arial" w:hAnsi="Arial" w:cs="Arial"/>
                <w:sz w:val="16"/>
                <w:szCs w:val="16"/>
              </w:rPr>
              <w:t>ykład, dyskusja i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61AB" w:rsidRPr="00CD61AB" w:rsidRDefault="00151533" w:rsidP="00CD61A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</w:t>
            </w:r>
            <w:r w:rsidR="00CD61AB">
              <w:rPr>
                <w:rFonts w:ascii="Arial" w:hAnsi="Arial" w:cs="Arial"/>
                <w:sz w:val="16"/>
                <w:szCs w:val="16"/>
              </w:rPr>
              <w:t xml:space="preserve">podstawowa </w:t>
            </w:r>
            <w:r w:rsidRPr="00107772">
              <w:rPr>
                <w:rFonts w:ascii="Arial" w:hAnsi="Arial" w:cs="Arial"/>
                <w:sz w:val="16"/>
                <w:szCs w:val="16"/>
              </w:rPr>
              <w:t>wiedza z zakresu</w:t>
            </w:r>
            <w:r w:rsidR="00CD61AB" w:rsidRPr="00CD61A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86DA0">
              <w:rPr>
                <w:rFonts w:ascii="Arial" w:hAnsi="Arial" w:cs="Arial"/>
                <w:sz w:val="16"/>
                <w:szCs w:val="16"/>
              </w:rPr>
              <w:t>matematyki finansowej, s</w:t>
            </w:r>
            <w:r w:rsidR="00CD61AB" w:rsidRPr="00CD61AB">
              <w:rPr>
                <w:rFonts w:ascii="Arial" w:hAnsi="Arial" w:cs="Arial"/>
                <w:sz w:val="16"/>
                <w:szCs w:val="16"/>
              </w:rPr>
              <w:t>tatystyki i ogólna wiedza ekonomiczna.</w:t>
            </w:r>
          </w:p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D61A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- posiada wiedzę na temat rynku finansowego, jego segmentów i instrumentów oraz wiedzę o relacjach rynku instrumentów pochodnych z rynkiem towarowym i finansowym </w:t>
            </w:r>
          </w:p>
          <w:p w:rsidR="00E4596B" w:rsidRPr="00255E48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55E48">
              <w:rPr>
                <w:rFonts w:ascii="Arial" w:hAnsi="Arial" w:cs="Arial"/>
                <w:sz w:val="16"/>
                <w:szCs w:val="16"/>
              </w:rPr>
              <w:t xml:space="preserve"> Zna metody inżynierii </w:t>
            </w:r>
            <w:r w:rsidR="00032481">
              <w:rPr>
                <w:rFonts w:ascii="Arial" w:hAnsi="Arial" w:cs="Arial"/>
                <w:sz w:val="16"/>
                <w:szCs w:val="16"/>
              </w:rPr>
              <w:t>finansowe</w:t>
            </w:r>
            <w:r w:rsidR="00255E48">
              <w:rPr>
                <w:rFonts w:ascii="Arial" w:hAnsi="Arial" w:cs="Arial"/>
                <w:sz w:val="16"/>
                <w:szCs w:val="16"/>
              </w:rPr>
              <w:t>j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związane</w:t>
            </w:r>
            <w:r w:rsidR="00255E48">
              <w:rPr>
                <w:rFonts w:ascii="Arial" w:hAnsi="Arial" w:cs="Arial"/>
                <w:sz w:val="16"/>
                <w:szCs w:val="16"/>
              </w:rPr>
              <w:t xml:space="preserve"> z wyceną </w:t>
            </w:r>
            <w:r w:rsidR="00032481">
              <w:rPr>
                <w:rFonts w:ascii="Arial" w:hAnsi="Arial" w:cs="Arial"/>
                <w:sz w:val="16"/>
                <w:szCs w:val="16"/>
              </w:rPr>
              <w:t>podstawowych instrumentów pochodnych</w:t>
            </w:r>
            <w:r w:rsidR="00032481">
              <w:rPr>
                <w:sz w:val="16"/>
                <w:szCs w:val="16"/>
              </w:rPr>
              <w:t xml:space="preserve"> </w:t>
            </w:r>
            <w:r w:rsidR="00255E48" w:rsidRPr="00255E48">
              <w:rPr>
                <w:rFonts w:ascii="Arial" w:hAnsi="Arial" w:cs="Arial"/>
                <w:sz w:val="16"/>
                <w:szCs w:val="16"/>
              </w:rPr>
              <w:t>i oceną ryzyka ich wystawcy oraz nabywcy</w:t>
            </w:r>
          </w:p>
          <w:p w:rsidR="00ED11F9" w:rsidRPr="00582090" w:rsidRDefault="00A77A5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zna metody 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 w:rsidR="00032481">
              <w:rPr>
                <w:rFonts w:ascii="Arial" w:hAnsi="Arial" w:cs="Arial"/>
                <w:sz w:val="16"/>
                <w:szCs w:val="16"/>
              </w:rPr>
              <w:t>e i ekonometryczne</w:t>
            </w:r>
            <w:r w:rsidR="00032481"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 w:rsidR="00032481">
              <w:rPr>
                <w:rFonts w:ascii="Arial" w:hAnsi="Arial" w:cs="Arial"/>
                <w:sz w:val="16"/>
                <w:szCs w:val="16"/>
              </w:rPr>
              <w:t>e do oceny zmienności instrumentów finansowych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032481">
              <w:rPr>
                <w:bCs/>
                <w:sz w:val="18"/>
                <w:szCs w:val="18"/>
              </w:rPr>
              <w:t xml:space="preserve"> potrafi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="00032481"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2481">
              <w:rPr>
                <w:rFonts w:ascii="Arial" w:hAnsi="Arial" w:cs="Arial"/>
                <w:sz w:val="16"/>
                <w:szCs w:val="16"/>
              </w:rPr>
              <w:t>dobrać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032481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Default="009121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032481">
              <w:rPr>
                <w:bCs/>
                <w:sz w:val="18"/>
                <w:szCs w:val="18"/>
              </w:rPr>
              <w:t xml:space="preserve"> Potrafi przewidzieć możliwe efekty finansowe, wynikające z zastosowania poszczególnych instrumentów pochodnych w zależności od sytuacji rynkowej</w:t>
            </w:r>
            <w:r w:rsidR="00032481">
              <w:rPr>
                <w:sz w:val="16"/>
                <w:szCs w:val="16"/>
              </w:rPr>
              <w:t xml:space="preserve"> 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032481" w:rsidRPr="0081552D">
              <w:rPr>
                <w:rFonts w:ascii="Arial" w:hAnsi="Arial" w:cs="Arial"/>
                <w:sz w:val="16"/>
                <w:szCs w:val="16"/>
              </w:rPr>
              <w:t xml:space="preserve"> 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umiejętność konstrukcji strategii zabezpieczających i krytycznej oceny ich skuteczności w określonych warunkach rynkowych</w:t>
            </w:r>
            <w:r w:rsidR="00032481"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D61AB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D61A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5813D2" w:rsidRPr="00255E48" w:rsidRDefault="00CD61AB" w:rsidP="005813D2">
            <w:pPr>
              <w:spacing w:line="240" w:lineRule="auto"/>
              <w:ind w:left="340" w:hanging="340"/>
              <w:jc w:val="both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  <w:r w:rsidRPr="005813D2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5813D2" w:rsidRPr="005813D2">
              <w:rPr>
                <w:rFonts w:ascii="Arial" w:eastAsia="Times New Roman" w:hAnsi="Arial" w:cs="Arial"/>
                <w:bCs/>
                <w:noProof/>
                <w:sz w:val="16"/>
                <w:szCs w:val="16"/>
                <w:lang w:val="en-US"/>
              </w:rPr>
              <w:t xml:space="preserve"> Hull J.C. (20</w:t>
            </w:r>
            <w:r w:rsidR="00C93EF7"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  <w:t>03</w:t>
            </w:r>
            <w:r w:rsidR="005813D2" w:rsidRPr="005813D2"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  <w:t xml:space="preserve">) Options, futures, and other derivatives. </w:t>
            </w:r>
            <w:r w:rsidR="005813D2" w:rsidRPr="00255E48"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  <w:t>Prentice Hall, Boston.</w:t>
            </w:r>
          </w:p>
          <w:p w:rsidR="005813D2" w:rsidRPr="00255E48" w:rsidRDefault="00CD61AB" w:rsidP="005813D2">
            <w:pPr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</w:pPr>
            <w:r w:rsidRPr="005813D2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5813D2" w:rsidRPr="005813D2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 xml:space="preserve"> Kolb R.W., Overdahl J.A. (2007) Futures, options, and swaps. </w:t>
            </w:r>
            <w:r w:rsidR="005813D2" w:rsidRPr="00255E48">
              <w:rPr>
                <w:rFonts w:ascii="Arial" w:eastAsia="Times New Roman" w:hAnsi="Arial" w:cs="Arial"/>
                <w:sz w:val="16"/>
                <w:szCs w:val="16"/>
                <w:lang w:val="en-US" w:eastAsia="pl-PL"/>
              </w:rPr>
              <w:t>Blackwell Publishing, Malden.</w:t>
            </w:r>
          </w:p>
          <w:p w:rsidR="00091137" w:rsidRPr="005813D2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813D2">
              <w:rPr>
                <w:rFonts w:ascii="Arial" w:hAnsi="Arial" w:cs="Arial"/>
                <w:sz w:val="16"/>
                <w:szCs w:val="16"/>
                <w:lang w:val="en-US"/>
              </w:rPr>
              <w:t>Literatura uzupełniająca:</w:t>
            </w:r>
          </w:p>
          <w:p w:rsidR="005813D2" w:rsidRPr="005813D2" w:rsidRDefault="00CD61AB" w:rsidP="005813D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5813D2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5813D2" w:rsidRPr="00C93EF7">
              <w:rPr>
                <w:rFonts w:ascii="Arial" w:eastAsia="Times New Roman" w:hAnsi="Arial" w:cs="Arial"/>
                <w:bCs/>
                <w:sz w:val="16"/>
                <w:szCs w:val="16"/>
                <w:lang w:val="en-US" w:eastAsia="pl-PL"/>
              </w:rPr>
              <w:t xml:space="preserve"> Haug E.G. (2007) Option pricing formulas. McGraw-Hill, New York.</w:t>
            </w:r>
          </w:p>
          <w:p w:rsidR="00CD61AB" w:rsidRPr="00CD61AB" w:rsidRDefault="00CD61AB" w:rsidP="006E7DD4">
            <w:pPr>
              <w:spacing w:before="20" w:after="20" w:line="240" w:lineRule="auto"/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</w:t>
            </w:r>
            <w:r w:rsidR="00CD61AB">
              <w:rPr>
                <w:rFonts w:ascii="Arial" w:hAnsi="Arial" w:cs="Arial"/>
                <w:sz w:val="16"/>
                <w:szCs w:val="16"/>
              </w:rPr>
              <w:t>któw konieczna do zaliczenia: 51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9415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373C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D62E5D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D62E5D" w:rsidRDefault="00A77A56" w:rsidP="002155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12881">
              <w:rPr>
                <w:rFonts w:ascii="Arial" w:hAnsi="Arial" w:cs="Arial"/>
                <w:sz w:val="16"/>
                <w:szCs w:val="16"/>
              </w:rPr>
              <w:t xml:space="preserve">wiedzę na temat </w:t>
            </w:r>
            <w:r w:rsidR="00032481">
              <w:rPr>
                <w:rFonts w:ascii="Arial" w:hAnsi="Arial" w:cs="Arial"/>
                <w:sz w:val="16"/>
                <w:szCs w:val="16"/>
              </w:rPr>
              <w:t>ry</w:t>
            </w:r>
            <w:r w:rsidR="00215580">
              <w:rPr>
                <w:rFonts w:ascii="Arial" w:hAnsi="Arial" w:cs="Arial"/>
                <w:sz w:val="16"/>
                <w:szCs w:val="16"/>
              </w:rPr>
              <w:t>nku finansowego, jego segmentów i instrumentów oraz wiedzę o relacjach rynku instrumentów pochodnych z rynkiem towarowym i finansowym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W03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215580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D62E5D" w:rsidRDefault="00255E48" w:rsidP="00D62E5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inżynierii finansowej związane z wyceną podstawowych instrumentów pochodnych</w:t>
            </w:r>
            <w:r w:rsidRPr="00D62E5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55E48">
              <w:rPr>
                <w:rFonts w:ascii="Arial" w:hAnsi="Arial" w:cs="Arial"/>
                <w:sz w:val="16"/>
                <w:szCs w:val="16"/>
              </w:rPr>
              <w:t>i oceną ryzyka ich wystawcy oraz nabywcy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15580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D62E5D" w:rsidRDefault="00A77A56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i ekonometryczne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215580">
              <w:rPr>
                <w:rFonts w:ascii="Arial" w:hAnsi="Arial" w:cs="Arial"/>
                <w:sz w:val="16"/>
                <w:szCs w:val="16"/>
              </w:rPr>
              <w:t xml:space="preserve"> do oceny zmienności instrumentów finansowych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2155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D62E5D" w:rsidRDefault="00C105EE" w:rsidP="008A21BE">
            <w:pPr>
              <w:rPr>
                <w:rFonts w:ascii="Arial" w:hAnsi="Arial" w:cs="Arial"/>
                <w:sz w:val="16"/>
                <w:szCs w:val="16"/>
              </w:rPr>
            </w:pPr>
            <w:r w:rsidRPr="00D62E5D">
              <w:rPr>
                <w:rFonts w:ascii="Arial" w:hAnsi="Arial" w:cs="Arial"/>
                <w:sz w:val="16"/>
                <w:szCs w:val="16"/>
              </w:rPr>
              <w:t xml:space="preserve"> potrafi </w:t>
            </w:r>
            <w:r w:rsidRPr="00C105EE">
              <w:rPr>
                <w:rFonts w:ascii="Arial" w:hAnsi="Arial" w:cs="Arial"/>
                <w:sz w:val="16"/>
                <w:szCs w:val="16"/>
              </w:rPr>
              <w:t xml:space="preserve">przygotować </w:t>
            </w:r>
            <w:r>
              <w:rPr>
                <w:rFonts w:ascii="Arial" w:hAnsi="Arial" w:cs="Arial"/>
                <w:sz w:val="16"/>
                <w:szCs w:val="16"/>
              </w:rPr>
              <w:t xml:space="preserve">odpowiednie </w:t>
            </w:r>
            <w:r w:rsidRPr="00C105EE">
              <w:rPr>
                <w:rFonts w:ascii="Arial" w:hAnsi="Arial" w:cs="Arial"/>
                <w:sz w:val="16"/>
                <w:szCs w:val="16"/>
              </w:rPr>
              <w:t>parametry niezbędne do wyceny kontraktów terminowych i opcji,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1BE">
              <w:rPr>
                <w:rFonts w:ascii="Arial" w:hAnsi="Arial" w:cs="Arial"/>
                <w:sz w:val="16"/>
                <w:szCs w:val="16"/>
              </w:rPr>
              <w:t>dobrać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 odpowiednie metody </w:t>
            </w:r>
            <w:r w:rsidR="008A21BE">
              <w:rPr>
                <w:rFonts w:ascii="Arial" w:hAnsi="Arial" w:cs="Arial"/>
                <w:sz w:val="16"/>
                <w:szCs w:val="16"/>
              </w:rPr>
              <w:t xml:space="preserve"> i narzędzia </w:t>
            </w:r>
            <w:r w:rsidR="008A21BE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8A21BE">
              <w:rPr>
                <w:rFonts w:ascii="Arial" w:hAnsi="Arial" w:cs="Arial"/>
                <w:sz w:val="16"/>
                <w:szCs w:val="16"/>
              </w:rPr>
              <w:t>wyceny poszczególnych instrumentów  pochodnych  i wyznaczyć profile wypłaty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8A21BE" w:rsidP="000324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Potrafi </w:t>
            </w:r>
            <w:r w:rsidR="00032481">
              <w:rPr>
                <w:bCs/>
                <w:sz w:val="18"/>
                <w:szCs w:val="18"/>
              </w:rPr>
              <w:t>przewidzieć możliwe efekty finansowe, wynikające z zastosowania poszczególnych instrumentów pochodnych w zależności od sytuacji rynkowej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A21BE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32481">
              <w:rPr>
                <w:rFonts w:ascii="Arial" w:hAnsi="Arial" w:cs="Arial"/>
                <w:sz w:val="16"/>
                <w:szCs w:val="16"/>
              </w:rPr>
              <w:t>umi</w:t>
            </w:r>
            <w:r w:rsidR="00A74C09">
              <w:rPr>
                <w:rFonts w:ascii="Arial" w:hAnsi="Arial" w:cs="Arial"/>
                <w:sz w:val="16"/>
                <w:szCs w:val="16"/>
              </w:rPr>
              <w:t>ejętność</w:t>
            </w:r>
            <w:r w:rsidR="00032481">
              <w:rPr>
                <w:rFonts w:ascii="Arial" w:hAnsi="Arial" w:cs="Arial"/>
                <w:sz w:val="16"/>
                <w:szCs w:val="16"/>
              </w:rPr>
              <w:t xml:space="preserve"> konstrukcji strategii zabezpieczających i krytycznej oceny ich skuteczności w określonych warunkach rynkowych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8A21BE"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8A21B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F2D" w:rsidRDefault="00FB7F2D" w:rsidP="002C0CA5">
      <w:pPr>
        <w:spacing w:line="240" w:lineRule="auto"/>
      </w:pPr>
      <w:r>
        <w:separator/>
      </w:r>
    </w:p>
  </w:endnote>
  <w:endnote w:type="continuationSeparator" w:id="0">
    <w:p w:rsidR="00FB7F2D" w:rsidRDefault="00FB7F2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F2D" w:rsidRDefault="00FB7F2D" w:rsidP="002C0CA5">
      <w:pPr>
        <w:spacing w:line="240" w:lineRule="auto"/>
      </w:pPr>
      <w:r>
        <w:separator/>
      </w:r>
    </w:p>
  </w:footnote>
  <w:footnote w:type="continuationSeparator" w:id="0">
    <w:p w:rsidR="00FB7F2D" w:rsidRDefault="00FB7F2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32481"/>
    <w:rsid w:val="000834BC"/>
    <w:rsid w:val="00091137"/>
    <w:rsid w:val="000C4232"/>
    <w:rsid w:val="00135F0D"/>
    <w:rsid w:val="00151533"/>
    <w:rsid w:val="00207BBF"/>
    <w:rsid w:val="00215580"/>
    <w:rsid w:val="00255E48"/>
    <w:rsid w:val="002C0CA5"/>
    <w:rsid w:val="002C439C"/>
    <w:rsid w:val="00306E0B"/>
    <w:rsid w:val="00341D25"/>
    <w:rsid w:val="003524D5"/>
    <w:rsid w:val="0036131B"/>
    <w:rsid w:val="003B680D"/>
    <w:rsid w:val="004433D0"/>
    <w:rsid w:val="00481690"/>
    <w:rsid w:val="004F5168"/>
    <w:rsid w:val="0052772A"/>
    <w:rsid w:val="00566310"/>
    <w:rsid w:val="005813D2"/>
    <w:rsid w:val="00646E3E"/>
    <w:rsid w:val="006674DC"/>
    <w:rsid w:val="0067513A"/>
    <w:rsid w:val="006C766B"/>
    <w:rsid w:val="006D34A0"/>
    <w:rsid w:val="006E7DD4"/>
    <w:rsid w:val="0072568B"/>
    <w:rsid w:val="00735F91"/>
    <w:rsid w:val="007D736E"/>
    <w:rsid w:val="00860FAB"/>
    <w:rsid w:val="00886DA0"/>
    <w:rsid w:val="008A21BE"/>
    <w:rsid w:val="008C5679"/>
    <w:rsid w:val="008F7E6F"/>
    <w:rsid w:val="00912188"/>
    <w:rsid w:val="00925376"/>
    <w:rsid w:val="0093211F"/>
    <w:rsid w:val="00963624"/>
    <w:rsid w:val="00965A2D"/>
    <w:rsid w:val="00966E0B"/>
    <w:rsid w:val="009B21A4"/>
    <w:rsid w:val="009E71F1"/>
    <w:rsid w:val="009F5D55"/>
    <w:rsid w:val="00A40BA6"/>
    <w:rsid w:val="00A43564"/>
    <w:rsid w:val="00A74C09"/>
    <w:rsid w:val="00A77A56"/>
    <w:rsid w:val="00B1133B"/>
    <w:rsid w:val="00B129CF"/>
    <w:rsid w:val="00B2721F"/>
    <w:rsid w:val="00BE399D"/>
    <w:rsid w:val="00C018B5"/>
    <w:rsid w:val="00C105EE"/>
    <w:rsid w:val="00C66E29"/>
    <w:rsid w:val="00C7572C"/>
    <w:rsid w:val="00C93EF7"/>
    <w:rsid w:val="00CD0414"/>
    <w:rsid w:val="00CD61AB"/>
    <w:rsid w:val="00D12881"/>
    <w:rsid w:val="00D373CB"/>
    <w:rsid w:val="00D62E5D"/>
    <w:rsid w:val="00DC4191"/>
    <w:rsid w:val="00E4596B"/>
    <w:rsid w:val="00EA7AAA"/>
    <w:rsid w:val="00ED11F9"/>
    <w:rsid w:val="00EE4F54"/>
    <w:rsid w:val="00F17173"/>
    <w:rsid w:val="00F263EA"/>
    <w:rsid w:val="00F94155"/>
    <w:rsid w:val="00FB2DB7"/>
    <w:rsid w:val="00FB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8A38D-4424-4045-92FF-C51FCCDE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</cp:revision>
  <cp:lastPrinted>2019-03-18T08:34:00Z</cp:lastPrinted>
  <dcterms:created xsi:type="dcterms:W3CDTF">2019-05-03T11:40:00Z</dcterms:created>
  <dcterms:modified xsi:type="dcterms:W3CDTF">2019-05-12T10:31:00Z</dcterms:modified>
</cp:coreProperties>
</file>