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1DC" w:rsidRDefault="0056129B">
      <w:pPr>
        <w:rPr>
          <w:rFonts w:ascii="Times New Roman" w:hAnsi="Times New Roman" w:cs="Times New Roman"/>
          <w:b/>
          <w:bCs/>
          <w:color w:val="C0C0C0"/>
        </w:rPr>
      </w:pPr>
      <w:r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left w:w="64" w:type="dxa"/>
          <w:right w:w="70" w:type="dxa"/>
        </w:tblCellMar>
        <w:tblLook w:val="0000" w:firstRow="0" w:lastRow="0" w:firstColumn="0" w:lastColumn="0" w:noHBand="0" w:noVBand="0"/>
      </w:tblPr>
      <w:tblGrid>
        <w:gridCol w:w="1062"/>
        <w:gridCol w:w="1417"/>
        <w:gridCol w:w="1134"/>
        <w:gridCol w:w="1278"/>
        <w:gridCol w:w="1059"/>
        <w:gridCol w:w="498"/>
        <w:gridCol w:w="994"/>
        <w:gridCol w:w="1418"/>
        <w:gridCol w:w="443"/>
        <w:gridCol w:w="50"/>
        <w:gridCol w:w="596"/>
        <w:gridCol w:w="721"/>
      </w:tblGrid>
      <w:tr w:rsidR="00BB31DC">
        <w:trPr>
          <w:trHeight w:val="405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BB31DC" w:rsidRDefault="0056129B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4" w:type="dxa"/>
            <w:gridSpan w:val="7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BB31DC" w:rsidRDefault="0056129B">
            <w:pPr>
              <w:spacing w:line="240" w:lineRule="auto"/>
            </w:pPr>
            <w:r>
              <w:rPr>
                <w:rFonts w:ascii="Arial" w:hAnsi="Arial" w:cs="Arial"/>
                <w:bCs/>
                <w:sz w:val="20"/>
                <w:szCs w:val="20"/>
              </w:rPr>
              <w:t>Mikroekonomia</w:t>
            </w:r>
          </w:p>
        </w:tc>
        <w:tc>
          <w:tcPr>
            <w:tcW w:w="646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tcMar>
              <w:left w:w="40" w:type="dxa"/>
            </w:tcMar>
            <w:vAlign w:val="center"/>
          </w:tcPr>
          <w:p w:rsidR="00BB31DC" w:rsidRDefault="0056129B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1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2F2F2" w:themeFill="background1" w:themeFillShade="F2"/>
            <w:tcMar>
              <w:left w:w="40" w:type="dxa"/>
            </w:tcMar>
            <w:vAlign w:val="center"/>
          </w:tcPr>
          <w:p w:rsidR="00BB31DC" w:rsidRDefault="0056129B">
            <w:pPr>
              <w:spacing w:line="240" w:lineRule="auto"/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BB31DC">
        <w:trPr>
          <w:trHeight w:val="340"/>
        </w:trPr>
        <w:tc>
          <w:tcPr>
            <w:tcW w:w="2478" w:type="dxa"/>
            <w:gridSpan w:val="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Microeconomics</w:t>
            </w:r>
          </w:p>
        </w:tc>
      </w:tr>
      <w:tr w:rsidR="00BB31DC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BB31DC">
        <w:trPr>
          <w:trHeight w:val="227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BB31DC" w:rsidRDefault="00BB31DC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BB31DC" w:rsidRDefault="00BB31DC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B31DC">
        <w:trPr>
          <w:trHeight w:val="303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BB31DC" w:rsidRDefault="0056129B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BB31DC" w:rsidRDefault="0056129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BB31DC" w:rsidRDefault="0056129B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BB31DC" w:rsidRDefault="0056129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BB31DC">
        <w:trPr>
          <w:trHeight w:val="445"/>
        </w:trPr>
        <w:tc>
          <w:tcPr>
            <w:tcW w:w="1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BB31DC" w:rsidRDefault="0056129B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BB31DC" w:rsidRDefault="0056129B">
            <w:pPr>
              <w:spacing w:line="240" w:lineRule="auto"/>
              <w:rPr>
                <w:sz w:val="20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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stacjonarne</w:t>
            </w:r>
          </w:p>
          <w:p w:rsidR="00BB31DC" w:rsidRDefault="0056129B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20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BB31DC" w:rsidRDefault="0056129B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Status zajęć: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4" w:type="dxa"/>
            </w:tcMar>
          </w:tcPr>
          <w:p w:rsidR="00BB31DC" w:rsidRDefault="0056129B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</w:t>
            </w:r>
            <w:r>
              <w:rPr>
                <w:sz w:val="16"/>
                <w:szCs w:val="16"/>
              </w:rPr>
              <w:t xml:space="preserve"> p</w:t>
            </w:r>
            <w:r>
              <w:rPr>
                <w:bCs/>
                <w:sz w:val="16"/>
                <w:szCs w:val="16"/>
              </w:rPr>
              <w:t>odstawowe</w:t>
            </w:r>
          </w:p>
          <w:p w:rsidR="00BB31DC" w:rsidRDefault="0056129B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BB31DC" w:rsidRDefault="0056129B">
            <w:pPr>
              <w:spacing w:line="240" w:lineRule="auto"/>
            </w:pPr>
            <w:r>
              <w:rPr>
                <w:rFonts w:ascii="Wingdings" w:eastAsia="Wingdings" w:hAnsi="Wingdings" w:cs="Wingdings"/>
                <w:bCs/>
                <w:sz w:val="20"/>
                <w:szCs w:val="16"/>
              </w:rPr>
              <w:t></w:t>
            </w:r>
            <w:r>
              <w:rPr>
                <w:bCs/>
                <w:sz w:val="16"/>
                <w:szCs w:val="16"/>
              </w:rPr>
              <w:t xml:space="preserve"> obowiązkowe </w:t>
            </w:r>
          </w:p>
          <w:p w:rsidR="00BB31DC" w:rsidRDefault="0056129B">
            <w:pPr>
              <w:spacing w:line="240" w:lineRule="auto"/>
              <w:rPr>
                <w:sz w:val="20"/>
                <w:szCs w:val="16"/>
              </w:rPr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</w:t>
            </w:r>
            <w:r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</w:tcPr>
          <w:p w:rsidR="00BB31DC" w:rsidRDefault="0056129B">
            <w:pPr>
              <w:spacing w:line="240" w:lineRule="auto"/>
            </w:pPr>
            <w:r>
              <w:rPr>
                <w:bCs/>
                <w:sz w:val="16"/>
                <w:szCs w:val="16"/>
              </w:rPr>
              <w:t>Numer semestru: ……1…..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</w:tcPr>
          <w:p w:rsidR="00BB31DC" w:rsidRDefault="0056129B">
            <w:pPr>
              <w:spacing w:line="240" w:lineRule="auto"/>
            </w:pPr>
            <w:r>
              <w:rPr>
                <w:rFonts w:ascii="Wingdings" w:eastAsia="Wingdings" w:hAnsi="Wingdings" w:cs="Wingdings"/>
                <w:sz w:val="20"/>
                <w:szCs w:val="16"/>
              </w:rPr>
              <w:t>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semestr  zimowy</w:t>
            </w:r>
            <w:r>
              <w:rPr>
                <w:bCs/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semestr  letni </w:t>
            </w:r>
          </w:p>
        </w:tc>
      </w:tr>
      <w:tr w:rsidR="00BB31DC">
        <w:trPr>
          <w:trHeight w:val="397"/>
        </w:trPr>
        <w:tc>
          <w:tcPr>
            <w:tcW w:w="10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0" w:type="dxa"/>
            </w:tcMar>
            <w:vAlign w:val="center"/>
          </w:tcPr>
          <w:p w:rsidR="00BB31DC" w:rsidRDefault="00BB31DC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F2F2F2" w:themeFill="background1" w:themeFillShade="F2"/>
            <w:tcMar>
              <w:left w:w="64" w:type="dxa"/>
            </w:tcMar>
            <w:vAlign w:val="center"/>
          </w:tcPr>
          <w:p w:rsidR="00BB31DC" w:rsidRDefault="00BB31DC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2" w:type="dxa"/>
            </w:tcMar>
            <w:vAlign w:val="center"/>
          </w:tcPr>
          <w:p w:rsidR="00BB31DC" w:rsidRDefault="0056129B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Rok akademicki, od którego obowiązuje opis (rocznik):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katalogowy:</w:t>
            </w:r>
          </w:p>
        </w:tc>
        <w:tc>
          <w:tcPr>
            <w:tcW w:w="18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jc w:val="center"/>
            </w:pPr>
            <w:r>
              <w:rPr>
                <w:color w:val="000000"/>
                <w:sz w:val="14"/>
                <w:szCs w:val="16"/>
              </w:rPr>
              <w:t>ZIM-IE-1S-01Z-4</w:t>
            </w:r>
          </w:p>
        </w:tc>
      </w:tr>
      <w:tr w:rsidR="00BB31DC">
        <w:trPr>
          <w:trHeight w:val="227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2" w:space="0" w:color="00000A"/>
            </w:tcBorders>
            <w:shd w:val="clear" w:color="auto" w:fill="auto"/>
            <w:tcMar>
              <w:left w:w="64" w:type="dxa"/>
            </w:tcMar>
            <w:vAlign w:val="center"/>
          </w:tcPr>
          <w:p w:rsidR="00BB31DC" w:rsidRDefault="00BB31DC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B31DC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Koordynator zajęć: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BB31DC">
            <w:pPr>
              <w:spacing w:line="240" w:lineRule="auto"/>
            </w:pPr>
            <w:bookmarkStart w:id="0" w:name="_GoBack"/>
            <w:bookmarkEnd w:id="0"/>
          </w:p>
        </w:tc>
      </w:tr>
      <w:tr w:rsidR="00BB31DC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Prowadzący zajęcia: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BB31DC">
            <w:pPr>
              <w:spacing w:line="240" w:lineRule="auto"/>
            </w:pPr>
          </w:p>
        </w:tc>
      </w:tr>
      <w:tr w:rsidR="00BB31DC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BB31DC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B31DC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BB31DC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BB31DC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</w:pPr>
            <w:r>
              <w:rPr>
                <w:rFonts w:ascii="Arial" w:hAnsi="Arial" w:cs="Arial"/>
                <w:sz w:val="16"/>
                <w:szCs w:val="16"/>
              </w:rPr>
              <w:t>Celem przedmiotu jest zapoznanie studentów z podstawami mikroekonomii</w:t>
            </w:r>
          </w:p>
          <w:p w:rsidR="00BB31DC" w:rsidRDefault="00BB31DC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B31DC" w:rsidRDefault="0056129B">
            <w:pPr>
              <w:pStyle w:val="Nagwek2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Opis tematów poruszanych podczas zajęć:</w:t>
            </w:r>
          </w:p>
          <w:p w:rsidR="00BB31DC" w:rsidRDefault="0056129B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Podaż, popyt, rynek, rodzaje dóbr</w:t>
            </w:r>
          </w:p>
          <w:p w:rsidR="00BB31DC" w:rsidRDefault="0056129B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Teoria konsumenta. Preferencje, użyteczność, elastyczność. Efekt substytucyjny i dochodowy.</w:t>
            </w:r>
          </w:p>
          <w:p w:rsidR="00BB31DC" w:rsidRDefault="0056129B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Teoria producenta</w:t>
            </w:r>
          </w:p>
          <w:p w:rsidR="00BB31DC" w:rsidRDefault="0056129B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Rynki, struktury (konkurencja doskonała, monopol, oligopol, konkurencja monopolistyczna), zawodność rynków, efekty zewnętrzne</w:t>
            </w:r>
          </w:p>
          <w:p w:rsidR="00BB31DC" w:rsidRDefault="0056129B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(*)Elementy ekonomii behawioralnej i teorii gier</w:t>
            </w:r>
          </w:p>
          <w:p w:rsidR="00BB31DC" w:rsidRDefault="0056129B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Rynek pracy</w:t>
            </w:r>
          </w:p>
          <w:p w:rsidR="00BB31DC" w:rsidRDefault="0056129B">
            <w:pPr>
              <w:numPr>
                <w:ilvl w:val="0"/>
                <w:numId w:val="2"/>
              </w:numPr>
              <w:tabs>
                <w:tab w:val="left" w:pos="566"/>
                <w:tab w:val="left" w:pos="991"/>
              </w:tabs>
              <w:spacing w:line="240" w:lineRule="auto"/>
              <w:ind w:left="720"/>
            </w:pPr>
            <w:r>
              <w:rPr>
                <w:rFonts w:ascii="Arial" w:hAnsi="Arial" w:cs="Arial"/>
                <w:sz w:val="16"/>
                <w:szCs w:val="16"/>
              </w:rPr>
              <w:t>(*) Aukcje. Asymetria informacji. Podstawy teorii kontraktów</w:t>
            </w:r>
          </w:p>
          <w:p w:rsidR="00BB31DC" w:rsidRDefault="00BB31DC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B31DC">
        <w:trPr>
          <w:trHeight w:val="883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wykład;  liczba godzin ...30...;  </w:t>
            </w:r>
          </w:p>
          <w:p w:rsidR="00BB31DC" w:rsidRDefault="0056129B">
            <w:pPr>
              <w:numPr>
                <w:ilvl w:val="0"/>
                <w:numId w:val="1"/>
              </w:numPr>
              <w:spacing w:line="240" w:lineRule="auto"/>
              <w:ind w:left="470"/>
            </w:pPr>
            <w:r>
              <w:rPr>
                <w:sz w:val="16"/>
                <w:szCs w:val="16"/>
              </w:rPr>
              <w:t xml:space="preserve">ćwiczenia laboratoryjne;  liczba godzin ...15..;  </w:t>
            </w:r>
          </w:p>
        </w:tc>
      </w:tr>
      <w:tr w:rsidR="00BB31DC">
        <w:trPr>
          <w:trHeight w:val="57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Metody dydaktyczne: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wykład, dyskusja problemu, rozwiązywanie problemu, konsultacje, zadania, gry, eksperymenty</w:t>
            </w:r>
          </w:p>
        </w:tc>
      </w:tr>
      <w:tr w:rsidR="00BB31DC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Wymagania formalne </w:t>
            </w:r>
          </w:p>
          <w:p w:rsidR="00BB31DC" w:rsidRDefault="0056129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  <w:p w:rsidR="00BB31DC" w:rsidRDefault="00BB31DC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B31DC">
        <w:trPr>
          <w:trHeight w:val="907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Efekty uczenia się:</w:t>
            </w:r>
          </w:p>
        </w:tc>
        <w:tc>
          <w:tcPr>
            <w:tcW w:w="347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BB31DC" w:rsidRDefault="0056129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1 – potrafi zdefiniować podstawowe pojęcia  z zakresu teorii konsumenta</w:t>
            </w:r>
          </w:p>
          <w:p w:rsidR="00BB31DC" w:rsidRDefault="0056129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 xml:space="preserve">2 – potrafi zdefiniować podstawowe pojęcia z zakresu teorii producenta </w:t>
            </w:r>
          </w:p>
          <w:p w:rsidR="00BB31DC" w:rsidRDefault="0056129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3 – potrafi opisać podstawowe mechanizmy rynku pracy</w:t>
            </w:r>
          </w:p>
          <w:p w:rsidR="00BB31DC" w:rsidRDefault="00BB31D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B31DC" w:rsidRDefault="0056129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1 – potrafi  rozpoznać zawodności rynku</w:t>
            </w:r>
          </w:p>
          <w:p w:rsidR="00BB31DC" w:rsidRDefault="0056129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2 – potrafi rozpoznać struktury rynkowe</w:t>
            </w:r>
          </w:p>
          <w:p w:rsidR="00BB31DC" w:rsidRDefault="0056129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3 – potrafi rozpoznać rodzaje dóbr</w:t>
            </w:r>
          </w:p>
          <w:p w:rsidR="00BB31DC" w:rsidRDefault="00BB31D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Kompetencje:</w:t>
            </w:r>
          </w:p>
          <w:p w:rsidR="00BB31DC" w:rsidRDefault="0056129B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BB31DC" w:rsidRDefault="0056129B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BB31DC" w:rsidRDefault="00BB31D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BB31DC">
        <w:trPr>
          <w:trHeight w:val="95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Egzamin pisemny, aktywność na zajęciach</w:t>
            </w:r>
          </w:p>
        </w:tc>
      </w:tr>
      <w:tr w:rsidR="00BB31DC">
        <w:trPr>
          <w:trHeight w:val="505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Egzamin pisemny z ocenami</w:t>
            </w:r>
          </w:p>
        </w:tc>
      </w:tr>
      <w:tr w:rsidR="00BB31DC">
        <w:trPr>
          <w:trHeight w:val="527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Elementy i wagi mające wpływ</w:t>
            </w:r>
          </w:p>
          <w:p w:rsidR="00BB31DC" w:rsidRDefault="0056129B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na ocenę końcową: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jc w:val="both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Egzamin pisemny – 100%, aktywność na zajęciach – 20%</w:t>
            </w:r>
          </w:p>
        </w:tc>
      </w:tr>
      <w:tr w:rsidR="00BB31DC">
        <w:trPr>
          <w:trHeight w:val="340"/>
        </w:trPr>
        <w:tc>
          <w:tcPr>
            <w:tcW w:w="247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1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jc w:val="both"/>
            </w:pPr>
            <w:r>
              <w:rPr>
                <w:rFonts w:ascii="Arial" w:hAnsi="Arial" w:cs="Arial"/>
                <w:sz w:val="16"/>
                <w:szCs w:val="16"/>
              </w:rPr>
              <w:t>Wykład -sala audytoryjna, ćwiczenia – sala ćwiczeniowa lub audytoryjna</w:t>
            </w:r>
          </w:p>
        </w:tc>
      </w:tr>
      <w:tr w:rsidR="00BB31DC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r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BB31DC" w:rsidRDefault="0056129B">
            <w:pPr>
              <w:numPr>
                <w:ilvl w:val="0"/>
                <w:numId w:val="3"/>
              </w:numPr>
            </w:pPr>
            <w:proofErr w:type="spellStart"/>
            <w:r w:rsidRPr="0056129B">
              <w:rPr>
                <w:rFonts w:ascii="Arial" w:hAnsi="Arial" w:cs="Arial"/>
                <w:color w:val="000000"/>
                <w:sz w:val="16"/>
                <w:szCs w:val="16"/>
              </w:rPr>
              <w:t>Mankiw</w:t>
            </w:r>
            <w:proofErr w:type="spellEnd"/>
            <w:r w:rsidRPr="0056129B">
              <w:rPr>
                <w:rFonts w:ascii="Arial" w:hAnsi="Arial" w:cs="Arial"/>
                <w:color w:val="000000"/>
                <w:sz w:val="16"/>
                <w:szCs w:val="16"/>
              </w:rPr>
              <w:t>, Taylor  (2009) Mikroekonomia, PWE, Warszawa,</w:t>
            </w:r>
          </w:p>
          <w:p w:rsidR="00BB31DC" w:rsidRDefault="0056129B">
            <w:pPr>
              <w:numPr>
                <w:ilvl w:val="0"/>
                <w:numId w:val="3"/>
              </w:num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Krugman Wells (2014)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Mikroekonomia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PWN, Warszawa</w:t>
            </w:r>
          </w:p>
          <w:p w:rsidR="00BB31DC" w:rsidRPr="0056129B" w:rsidRDefault="0056129B">
            <w:pPr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Coven, Tabarrok (2013) Modern principles: Microeconomics, Worth Publishers</w:t>
            </w:r>
          </w:p>
          <w:p w:rsidR="00BB31DC" w:rsidRDefault="0056129B"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Litaratura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uzupełniająca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:</w:t>
            </w:r>
          </w:p>
          <w:p w:rsidR="00BB31DC" w:rsidRPr="0056129B" w:rsidRDefault="0056129B">
            <w:pPr>
              <w:numPr>
                <w:ilvl w:val="0"/>
                <w:numId w:val="3"/>
              </w:numPr>
              <w:spacing w:line="240" w:lineRule="auto"/>
              <w:rPr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Acemoglu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Laibson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, List '(2014) Microeconomics, Pearson</w:t>
            </w:r>
          </w:p>
          <w:p w:rsidR="00BB31DC" w:rsidRDefault="0056129B">
            <w:pPr>
              <w:numPr>
                <w:ilvl w:val="0"/>
                <w:numId w:val="3"/>
              </w:numPr>
              <w:spacing w:line="240" w:lineRule="auto"/>
            </w:pPr>
            <w:proofErr w:type="spellStart"/>
            <w:r w:rsidRPr="0056129B">
              <w:rPr>
                <w:rFonts w:ascii="Arial" w:hAnsi="Arial" w:cs="Arial"/>
                <w:color w:val="000000"/>
                <w:sz w:val="16"/>
                <w:szCs w:val="16"/>
              </w:rPr>
              <w:t>Varian</w:t>
            </w:r>
            <w:proofErr w:type="spellEnd"/>
            <w:r w:rsidRPr="0056129B">
              <w:rPr>
                <w:rFonts w:ascii="Arial" w:hAnsi="Arial" w:cs="Arial"/>
                <w:color w:val="000000"/>
                <w:sz w:val="16"/>
                <w:szCs w:val="16"/>
              </w:rPr>
              <w:t xml:space="preserve"> 'Mikroekonomia. Kurs średni- ujęcie nowoczesne'</w:t>
            </w:r>
          </w:p>
          <w:p w:rsidR="00BB31DC" w:rsidRPr="0056129B" w:rsidRDefault="0056129B">
            <w:pPr>
              <w:numPr>
                <w:ilvl w:val="0"/>
                <w:numId w:val="3"/>
              </w:numPr>
              <w:spacing w:line="240" w:lineRule="auto"/>
              <w:rPr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Nechyba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(2011) Microeconomics. An intuitive approach with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calculs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cengae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Learning</w:t>
            </w:r>
          </w:p>
          <w:p w:rsidR="00BB31DC" w:rsidRDefault="0056129B">
            <w:pPr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lastRenderedPageBreak/>
              <w:t>Perloff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(2012) Microeconomics, Pearson</w:t>
            </w:r>
          </w:p>
          <w:p w:rsidR="00BB31DC" w:rsidRDefault="00BB31DC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BB31DC">
        <w:trPr>
          <w:trHeight w:val="340"/>
        </w:trPr>
        <w:tc>
          <w:tcPr>
            <w:tcW w:w="10669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BB31DC" w:rsidRDefault="0056129B">
            <w:pPr>
              <w:spacing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BB31DC" w:rsidRDefault="00BB31DC">
            <w:pPr>
              <w:spacing w:line="240" w:lineRule="auto"/>
              <w:rPr>
                <w:sz w:val="20"/>
                <w:szCs w:val="20"/>
              </w:rPr>
            </w:pPr>
          </w:p>
          <w:p w:rsidR="00BB31DC" w:rsidRDefault="00BB31DC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BB31DC" w:rsidRDefault="0056129B">
      <w:pPr>
        <w:rPr>
          <w:sz w:val="16"/>
        </w:rPr>
      </w:pPr>
      <w:r>
        <w:rPr>
          <w:sz w:val="16"/>
        </w:rPr>
        <w:br/>
      </w:r>
    </w:p>
    <w:p w:rsidR="00BB31DC" w:rsidRDefault="0056129B">
      <w:pPr>
        <w:rPr>
          <w:sz w:val="16"/>
        </w:rPr>
      </w:pPr>
      <w:r>
        <w:br w:type="page"/>
      </w:r>
    </w:p>
    <w:p w:rsidR="00BB31DC" w:rsidRDefault="0056129B">
      <w:pPr>
        <w:rPr>
          <w:sz w:val="16"/>
        </w:rPr>
      </w:pPr>
      <w:r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  <w:gridCol w:w="1438"/>
      </w:tblGrid>
      <w:tr w:rsidR="00BB31DC">
        <w:trPr>
          <w:trHeight w:val="536"/>
        </w:trPr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rPr>
                <w:sz w:val="18"/>
                <w:szCs w:val="18"/>
                <w:vertAlign w:val="superscript"/>
              </w:rPr>
            </w:pPr>
            <w:r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 dla zajęć efektów uczenia się - na tej podstawie należy wypełnić pole ECTS:</w:t>
            </w: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DC246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</w:t>
            </w:r>
            <w:r w:rsidR="0056129B">
              <w:rPr>
                <w:b/>
                <w:bCs/>
                <w:sz w:val="18"/>
                <w:szCs w:val="18"/>
              </w:rPr>
              <w:t xml:space="preserve"> h</w:t>
            </w:r>
          </w:p>
        </w:tc>
      </w:tr>
      <w:tr w:rsidR="00BB31DC">
        <w:trPr>
          <w:trHeight w:val="476"/>
        </w:trPr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5612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 lub innych osób prowadzących zajęcia:</w:t>
            </w: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B31DC" w:rsidRDefault="00DC246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56129B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BB31DC" w:rsidRDefault="00BB31DC"/>
    <w:p w:rsidR="00BB31DC" w:rsidRDefault="0056129B">
      <w:pPr>
        <w:rPr>
          <w:sz w:val="16"/>
        </w:rPr>
      </w:pPr>
      <w:r>
        <w:rPr>
          <w:sz w:val="18"/>
        </w:rPr>
        <w:t>Tabela zgodności kierunkowych efektów uczenia się z efektami przedmiotu:</w:t>
      </w:r>
    </w:p>
    <w:p w:rsidR="00BB31DC" w:rsidRDefault="00BB31DC">
      <w:pPr>
        <w:rPr>
          <w:vertAlign w:val="superscript"/>
        </w:rPr>
      </w:pPr>
    </w:p>
    <w:tbl>
      <w:tblPr>
        <w:tblW w:w="10492" w:type="dxa"/>
        <w:tblInd w:w="-7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1548"/>
        <w:gridCol w:w="4564"/>
        <w:gridCol w:w="3001"/>
        <w:gridCol w:w="1379"/>
      </w:tblGrid>
      <w:tr w:rsidR="00BB31DC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Oddziaływanie zajęć na efekt kierunkowy*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BB31DC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Pr="0075419C" w:rsidRDefault="0056129B" w:rsidP="0075419C">
            <w:pPr>
              <w:pStyle w:val="Akapitzlist"/>
              <w:spacing w:line="240" w:lineRule="auto"/>
              <w:ind w:left="0"/>
              <w:jc w:val="both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75419C">
              <w:rPr>
                <w:rFonts w:cs="Arial"/>
                <w:bCs/>
                <w:color w:val="000000"/>
                <w:sz w:val="20"/>
                <w:szCs w:val="20"/>
              </w:rPr>
              <w:t>Ma elementarną wiedzę o relacjach między strukturami i instytucjami społeczno-gospodarczymi w skali krajowej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r>
              <w:rPr>
                <w:rFonts w:cstheme="minorHAnsi"/>
                <w:sz w:val="18"/>
                <w:szCs w:val="18"/>
              </w:rPr>
              <w:t>W03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r>
              <w:rPr>
                <w:bCs/>
                <w:sz w:val="18"/>
                <w:szCs w:val="18"/>
              </w:rPr>
              <w:t>2</w:t>
            </w:r>
          </w:p>
        </w:tc>
      </w:tr>
      <w:tr w:rsidR="00BB31DC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Pr="0075419C" w:rsidRDefault="0056129B">
            <w:pPr>
              <w:pStyle w:val="Akapitzlist"/>
              <w:spacing w:line="240" w:lineRule="auto"/>
              <w:ind w:left="0"/>
              <w:jc w:val="both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Posiada podstawową wiedzę o ogólnych zasadach tworzenia i rozwoju form indywidualnej przedsiębiorczości, wykorzystujących wiedzę z zakresu metod ilościowych w badaniach ekonomicznych właściwych dla statystyki, ekonometrii i matematyki przy pomocy narzędzi stosowanych przez informatykę.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r>
              <w:rPr>
                <w:rFonts w:cstheme="minorHAnsi"/>
                <w:sz w:val="18"/>
                <w:szCs w:val="18"/>
              </w:rPr>
              <w:t>W11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r>
              <w:rPr>
                <w:bCs/>
                <w:sz w:val="18"/>
                <w:szCs w:val="18"/>
              </w:rPr>
              <w:t>2</w:t>
            </w:r>
          </w:p>
        </w:tc>
      </w:tr>
      <w:tr w:rsidR="00BB31DC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3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Pr="0075419C" w:rsidRDefault="0056129B" w:rsidP="0075419C">
            <w:pPr>
              <w:pStyle w:val="Akapitzlist"/>
              <w:spacing w:line="240" w:lineRule="auto"/>
              <w:ind w:left="0"/>
              <w:jc w:val="both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75419C">
              <w:rPr>
                <w:rFonts w:cs="Arial"/>
                <w:bCs/>
                <w:color w:val="000000"/>
                <w:sz w:val="20"/>
                <w:szCs w:val="20"/>
              </w:rPr>
              <w:t xml:space="preserve">Posiada podstawową wiedzę  z zakresu ekonomii i informatyki odnoszącą  się do szeroko rozumianych inwestycji informatycznych i projektów informatycznych (m. in.  zwrot z inwestycji, koszty stałe i koszty zmienne, ocena poszczególnych </w:t>
            </w:r>
            <w:proofErr w:type="spellStart"/>
            <w:r w:rsidRPr="0075419C">
              <w:rPr>
                <w:rFonts w:cs="Arial"/>
                <w:bCs/>
                <w:color w:val="000000"/>
                <w:sz w:val="20"/>
                <w:szCs w:val="20"/>
              </w:rPr>
              <w:t>ryzyk</w:t>
            </w:r>
            <w:proofErr w:type="spellEnd"/>
            <w:r w:rsidRPr="0075419C">
              <w:rPr>
                <w:rFonts w:cs="Arial"/>
                <w:bCs/>
                <w:color w:val="000000"/>
                <w:sz w:val="20"/>
                <w:szCs w:val="20"/>
              </w:rPr>
              <w:t xml:space="preserve"> występujących w trakcie realizacji projektów).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r>
              <w:rPr>
                <w:rFonts w:cstheme="minorHAnsi"/>
                <w:sz w:val="18"/>
                <w:szCs w:val="18"/>
              </w:rPr>
              <w:t>W19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BB31DC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Pr="0075419C" w:rsidRDefault="0056129B" w:rsidP="0075419C">
            <w:pPr>
              <w:pStyle w:val="Akapitzlist"/>
              <w:spacing w:line="240" w:lineRule="auto"/>
              <w:ind w:left="0"/>
              <w:jc w:val="both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75419C">
              <w:rPr>
                <w:rFonts w:cs="Arial"/>
                <w:bCs/>
                <w:color w:val="000000"/>
                <w:sz w:val="20"/>
                <w:szCs w:val="20"/>
              </w:rPr>
              <w:t>Potrafi wykorzystać podstawową wiedzę teoretyczną do opisu i analizowania konkretnych procesów i zjawisk społeczno-gospodarczych w zakresie ekonomii, finansów i zarządzania, właściwych dla ekonometrii i informatyki.</w:t>
            </w:r>
          </w:p>
          <w:p w:rsidR="00BB31DC" w:rsidRPr="0075419C" w:rsidRDefault="0056129B" w:rsidP="0075419C">
            <w:pPr>
              <w:pStyle w:val="Akapitzlist"/>
              <w:spacing w:line="240" w:lineRule="auto"/>
              <w:ind w:left="0"/>
              <w:jc w:val="both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75419C">
              <w:rPr>
                <w:rFonts w:cs="Arial"/>
                <w:bCs/>
                <w:color w:val="000000"/>
                <w:sz w:val="20"/>
                <w:szCs w:val="20"/>
              </w:rPr>
              <w:t xml:space="preserve">W szczególności: </w:t>
            </w:r>
          </w:p>
          <w:p w:rsidR="00BB31DC" w:rsidRPr="0075419C" w:rsidRDefault="0056129B" w:rsidP="0075419C">
            <w:pPr>
              <w:pStyle w:val="Akapitzlist"/>
              <w:spacing w:line="240" w:lineRule="auto"/>
              <w:ind w:left="0"/>
              <w:jc w:val="both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75419C">
              <w:rPr>
                <w:rFonts w:cs="Arial"/>
                <w:bCs/>
                <w:color w:val="000000"/>
                <w:sz w:val="20"/>
                <w:szCs w:val="20"/>
              </w:rPr>
              <w:t>umie zapisać w postaci modeli podstawowe zależności między zjawiskami ekonomicznymi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pPr>
              <w:ind w:right="113"/>
            </w:pPr>
            <w:r>
              <w:rPr>
                <w:rFonts w:cstheme="minorHAnsi"/>
                <w:sz w:val="18"/>
                <w:szCs w:val="18"/>
              </w:rPr>
              <w:t>U01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BB31DC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Pr="0075419C" w:rsidRDefault="0056129B" w:rsidP="0075419C">
            <w:pPr>
              <w:pStyle w:val="Akapitzlist"/>
              <w:spacing w:line="240" w:lineRule="auto"/>
              <w:ind w:left="0"/>
              <w:jc w:val="both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75419C">
              <w:rPr>
                <w:rFonts w:cs="Arial"/>
                <w:bCs/>
                <w:color w:val="000000"/>
                <w:sz w:val="20"/>
                <w:szCs w:val="20"/>
              </w:rPr>
              <w:t xml:space="preserve">Potrafi we właściwy sposób analizować przyczyny przebiegu konkretnych procesów i zjawisk </w:t>
            </w:r>
            <w:proofErr w:type="spellStart"/>
            <w:r w:rsidRPr="0075419C">
              <w:rPr>
                <w:rFonts w:cs="Arial"/>
                <w:bCs/>
                <w:color w:val="000000"/>
                <w:sz w:val="20"/>
                <w:szCs w:val="20"/>
              </w:rPr>
              <w:t>społeczno</w:t>
            </w:r>
            <w:proofErr w:type="spellEnd"/>
            <w:r w:rsidRPr="0075419C">
              <w:rPr>
                <w:rFonts w:cs="Arial"/>
                <w:bCs/>
                <w:color w:val="000000"/>
                <w:sz w:val="20"/>
                <w:szCs w:val="20"/>
              </w:rPr>
              <w:t xml:space="preserve"> - gospodarczych w zakresie ekonomii, finansów  i zarządzania, właściwych dla ekonometrii i informatyki.</w:t>
            </w:r>
          </w:p>
          <w:p w:rsidR="00BB31DC" w:rsidRPr="0075419C" w:rsidRDefault="0056129B" w:rsidP="0075419C">
            <w:pPr>
              <w:pStyle w:val="Akapitzlist"/>
              <w:spacing w:line="240" w:lineRule="auto"/>
              <w:ind w:left="0"/>
              <w:jc w:val="both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75419C">
              <w:rPr>
                <w:rFonts w:cs="Arial"/>
                <w:bCs/>
                <w:color w:val="000000"/>
                <w:sz w:val="20"/>
                <w:szCs w:val="20"/>
              </w:rPr>
              <w:t xml:space="preserve">Rozumie </w:t>
            </w:r>
            <w:proofErr w:type="spellStart"/>
            <w:r w:rsidRPr="0075419C">
              <w:rPr>
                <w:rFonts w:cs="Arial"/>
                <w:bCs/>
                <w:color w:val="000000"/>
                <w:sz w:val="20"/>
                <w:szCs w:val="20"/>
              </w:rPr>
              <w:t>przyczynowo-skutkowe</w:t>
            </w:r>
            <w:proofErr w:type="spellEnd"/>
            <w:r w:rsidRPr="0075419C">
              <w:rPr>
                <w:rFonts w:cs="Arial"/>
                <w:bCs/>
                <w:color w:val="000000"/>
                <w:sz w:val="20"/>
                <w:szCs w:val="20"/>
              </w:rPr>
              <w:t xml:space="preserve"> relacje między zjawiskami ekonomicznymi. Potrafi samodzielnie zbudować podstawowe modele decyzyjne.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pPr>
              <w:ind w:right="113"/>
            </w:pPr>
            <w:r>
              <w:rPr>
                <w:rFonts w:cstheme="minorHAnsi"/>
                <w:sz w:val="18"/>
                <w:szCs w:val="18"/>
              </w:rPr>
              <w:t>U03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r>
              <w:rPr>
                <w:bCs/>
                <w:sz w:val="18"/>
                <w:szCs w:val="18"/>
              </w:rPr>
              <w:t>2</w:t>
            </w:r>
          </w:p>
        </w:tc>
      </w:tr>
      <w:tr w:rsidR="00BB31DC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Pr="0075419C" w:rsidRDefault="0056129B">
            <w:pPr>
              <w:pStyle w:val="Akapitzlist"/>
              <w:spacing w:line="240" w:lineRule="auto"/>
              <w:ind w:left="0"/>
              <w:jc w:val="both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75419C">
              <w:rPr>
                <w:rFonts w:cs="Arial"/>
                <w:bCs/>
                <w:color w:val="000000"/>
                <w:sz w:val="20"/>
                <w:szCs w:val="20"/>
              </w:rPr>
              <w:t>Potrafi rozwiązywać problemy makro- i mikroekonomiczne z wykorzystaniem różnorodnych narzędzi analitycznych, w tym nowoczesnych technologii informatycznych, rozumie i umie stosować narzędzia analizy matematycznej w ekonometrii i informatyce, umie wykorzystywać metody algebry liniowej w statystyce, ekonometrii oraz matematycznych modelach podejmowania decyzji.</w:t>
            </w: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pPr>
              <w:ind w:right="113"/>
            </w:pPr>
            <w:r>
              <w:rPr>
                <w:rFonts w:cstheme="minorHAnsi"/>
                <w:sz w:val="18"/>
                <w:szCs w:val="18"/>
              </w:rPr>
              <w:t>U14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r>
              <w:rPr>
                <w:bCs/>
                <w:sz w:val="18"/>
                <w:szCs w:val="18"/>
              </w:rPr>
              <w:t>3</w:t>
            </w:r>
          </w:p>
        </w:tc>
      </w:tr>
      <w:tr w:rsidR="00BB31DC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BB31DC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BB31DC">
            <w:pPr>
              <w:rPr>
                <w:bCs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BB31DC">
            <w:pPr>
              <w:rPr>
                <w:bCs/>
                <w:sz w:val="18"/>
                <w:szCs w:val="18"/>
              </w:rPr>
            </w:pPr>
          </w:p>
        </w:tc>
      </w:tr>
      <w:tr w:rsidR="00BB31DC">
        <w:tc>
          <w:tcPr>
            <w:tcW w:w="15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56129B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BB31DC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BB31DC">
            <w:pPr>
              <w:rPr>
                <w:bCs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B31DC" w:rsidRDefault="00BB31DC">
            <w:pPr>
              <w:rPr>
                <w:bCs/>
                <w:sz w:val="18"/>
                <w:szCs w:val="18"/>
              </w:rPr>
            </w:pPr>
          </w:p>
        </w:tc>
      </w:tr>
    </w:tbl>
    <w:p w:rsidR="00BB31DC" w:rsidRDefault="00BB31DC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</w:p>
    <w:p w:rsidR="00BB31DC" w:rsidRDefault="0056129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lastRenderedPageBreak/>
        <w:t>*)</w:t>
      </w:r>
    </w:p>
    <w:p w:rsidR="00BB31DC" w:rsidRDefault="0056129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 xml:space="preserve">3 – zaawansowany i szczegółowy, </w:t>
      </w:r>
    </w:p>
    <w:p w:rsidR="00BB31DC" w:rsidRDefault="0056129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2 – znaczący,</w:t>
      </w:r>
    </w:p>
    <w:p w:rsidR="00BB31DC" w:rsidRDefault="0056129B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00000A"/>
          <w:sz w:val="20"/>
          <w:szCs w:val="20"/>
        </w:rPr>
      </w:pPr>
      <w:r>
        <w:rPr>
          <w:rFonts w:cs="Times New Roman"/>
          <w:color w:val="00000A"/>
          <w:sz w:val="20"/>
          <w:szCs w:val="20"/>
        </w:rPr>
        <w:t>1 – podstawowy,</w:t>
      </w:r>
    </w:p>
    <w:p w:rsidR="00BB31DC" w:rsidRDefault="00BB31DC"/>
    <w:sectPr w:rsidR="00BB31DC">
      <w:pgSz w:w="11906" w:h="16838"/>
      <w:pgMar w:top="851" w:right="851" w:bottom="851" w:left="851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942F0"/>
    <w:multiLevelType w:val="multilevel"/>
    <w:tmpl w:val="6F5A72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4D00032"/>
    <w:multiLevelType w:val="multilevel"/>
    <w:tmpl w:val="55A27C4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4705859"/>
    <w:multiLevelType w:val="multilevel"/>
    <w:tmpl w:val="0A18A17A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cs="Symbol" w:hint="default"/>
        <w:sz w:val="16"/>
      </w:rPr>
    </w:lvl>
    <w:lvl w:ilvl="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3" w15:restartNumberingAfterBreak="0">
    <w:nsid w:val="71AA630D"/>
    <w:multiLevelType w:val="multilevel"/>
    <w:tmpl w:val="8DAC61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327"/>
  <w:hyphenationZone w:val="425"/>
  <w:characterSpacingControl w:val="doNotCompress"/>
  <w:compat>
    <w:compatSetting w:name="compatibilityMode" w:uri="http://schemas.microsoft.com/office/word" w:val="12"/>
  </w:compat>
  <w:rsids>
    <w:rsidRoot w:val="00BB31DC"/>
    <w:rsid w:val="0056129B"/>
    <w:rsid w:val="0075419C"/>
    <w:rsid w:val="00BB31DC"/>
    <w:rsid w:val="00C141E4"/>
    <w:rsid w:val="00DC246B"/>
    <w:rsid w:val="00FE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80D903-0538-4E24-AC3C-23F3A5A3E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  <w:pPr>
      <w:spacing w:line="360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9"/>
    <w:qFormat/>
    <w:rsid w:val="00151533"/>
    <w:pPr>
      <w:keepNext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07BB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C0CA5"/>
  </w:style>
  <w:style w:type="character" w:customStyle="1" w:styleId="StopkaZnak">
    <w:name w:val="Stopka Znak"/>
    <w:basedOn w:val="Domylnaczcionkaakapitu"/>
    <w:link w:val="Stopka"/>
    <w:uiPriority w:val="99"/>
    <w:qFormat/>
    <w:rsid w:val="002C0CA5"/>
  </w:style>
  <w:style w:type="character" w:customStyle="1" w:styleId="Nagwek2Znak">
    <w:name w:val="Nagłówek 2 Znak"/>
    <w:basedOn w:val="Domylnaczcionkaakapitu"/>
    <w:link w:val="Nagwek2"/>
    <w:uiPriority w:val="99"/>
    <w:qFormat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ascii="Arial" w:hAnsi="Arial" w:cs="Symbol"/>
      <w:sz w:val="16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ascii="Arial" w:hAnsi="Arial" w:cs="Symbol"/>
      <w:sz w:val="16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Arial" w:hAnsi="Arial" w:cs="Symbol"/>
      <w:sz w:val="16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Arial" w:hAnsi="Arial" w:cs="Symbol"/>
      <w:sz w:val="16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ascii="Arial" w:hAnsi="Arial" w:cs="Symbol"/>
      <w:sz w:val="16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ascii="Arial" w:hAnsi="Arial" w:cs="Symbol"/>
      <w:sz w:val="16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FreeSans"/>
    </w:rPr>
  </w:style>
  <w:style w:type="paragraph" w:customStyle="1" w:styleId="Default">
    <w:name w:val="Default"/>
    <w:qFormat/>
    <w:rsid w:val="0093211F"/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qFormat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753</Words>
  <Characters>4519</Characters>
  <Application>Microsoft Office Word</Application>
  <DocSecurity>0</DocSecurity>
  <Lines>37</Lines>
  <Paragraphs>10</Paragraphs>
  <ScaleCrop>false</ScaleCrop>
  <Company>Microsoft</Company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Wagner</dc:creator>
  <dc:description/>
  <cp:lastModifiedBy>Joanna Landmesser</cp:lastModifiedBy>
  <cp:revision>21</cp:revision>
  <cp:lastPrinted>2019-03-18T08:34:00Z</cp:lastPrinted>
  <dcterms:created xsi:type="dcterms:W3CDTF">2019-04-29T18:38:00Z</dcterms:created>
  <dcterms:modified xsi:type="dcterms:W3CDTF">2019-05-12T10:03:00Z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